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style1.xml" ContentType="application/vnd.ms-office.chartstyle+xml"/>
  <Override PartName="/word/charts/style2.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right"/>
        <w:rPr>
          <w:rFonts w:ascii="黑体" w:hAnsi="黑体" w:eastAsia="黑体"/>
          <w:sz w:val="32"/>
          <w:szCs w:val="32"/>
        </w:rPr>
      </w:pPr>
    </w:p>
    <w:p>
      <w:pPr>
        <w:spacing w:line="580" w:lineRule="exact"/>
        <w:jc w:val="right"/>
        <w:rPr>
          <w:rFonts w:ascii="黑体" w:hAnsi="黑体" w:eastAsia="黑体"/>
          <w:sz w:val="32"/>
          <w:szCs w:val="32"/>
        </w:rPr>
      </w:pPr>
    </w:p>
    <w:p>
      <w:pPr>
        <w:jc w:val="center"/>
        <w:rPr>
          <w:rFonts w:ascii="方正小标宋简体" w:eastAsia="方正小标宋简体"/>
          <w:sz w:val="52"/>
          <w:szCs w:val="52"/>
        </w:rPr>
      </w:pPr>
    </w:p>
    <w:p>
      <w:pPr>
        <w:jc w:val="center"/>
        <w:rPr>
          <w:rFonts w:ascii="方正小标宋简体" w:eastAsia="方正小标宋简体"/>
          <w:sz w:val="52"/>
          <w:szCs w:val="52"/>
        </w:rPr>
      </w:pPr>
    </w:p>
    <w:p>
      <w:pPr>
        <w:jc w:val="center"/>
        <w:rPr>
          <w:rFonts w:ascii="方正小标宋简体" w:eastAsia="方正小标宋简体"/>
          <w:sz w:val="52"/>
          <w:szCs w:val="52"/>
        </w:rPr>
      </w:pPr>
    </w:p>
    <w:p>
      <w:pPr>
        <w:jc w:val="center"/>
        <w:rPr>
          <w:rFonts w:ascii="方正小标宋简体" w:eastAsia="方正小标宋简体"/>
          <w:sz w:val="52"/>
          <w:szCs w:val="52"/>
        </w:rPr>
      </w:pPr>
      <w:r>
        <w:rPr>
          <w:rFonts w:ascii="方正小标宋简体" w:eastAsia="方正小标宋简体"/>
          <w:sz w:val="52"/>
          <w:szCs w:val="52"/>
        </w:rPr>
        <w:t>2022</w:t>
      </w:r>
      <w:r>
        <w:rPr>
          <w:rFonts w:hint="eastAsia" w:ascii="方正小标宋简体" w:eastAsia="方正小标宋简体"/>
          <w:sz w:val="52"/>
          <w:szCs w:val="52"/>
        </w:rPr>
        <w:t>年招远市审计局部门预算</w:t>
      </w:r>
    </w:p>
    <w:p>
      <w:pPr>
        <w:jc w:val="center"/>
        <w:rPr>
          <w:rFonts w:ascii="方正小标宋简体" w:eastAsia="方正小标宋简体"/>
          <w:sz w:val="52"/>
          <w:szCs w:val="52"/>
        </w:rP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spacing w:line="580" w:lineRule="exact"/>
        <w:jc w:val="center"/>
        <w:rPr>
          <w:rFonts w:ascii="黑体" w:eastAsia="黑体"/>
          <w:sz w:val="44"/>
          <w:szCs w:val="44"/>
        </w:rPr>
      </w:pPr>
      <w:r>
        <w:br w:type="page"/>
      </w:r>
      <w:r>
        <w:rPr>
          <w:rFonts w:hint="eastAsia" w:ascii="黑体" w:eastAsia="黑体"/>
          <w:sz w:val="44"/>
          <w:szCs w:val="44"/>
        </w:rPr>
        <w:t>目  录</w:t>
      </w:r>
    </w:p>
    <w:p>
      <w:pPr>
        <w:spacing w:line="580" w:lineRule="exact"/>
        <w:rPr>
          <w:rFonts w:ascii="黑体" w:eastAsia="黑体"/>
          <w:sz w:val="36"/>
          <w:szCs w:val="36"/>
        </w:rPr>
      </w:pPr>
      <w:r>
        <w:rPr>
          <w:rFonts w:hint="eastAsia" w:ascii="黑体" w:eastAsia="黑体"/>
          <w:sz w:val="36"/>
          <w:szCs w:val="36"/>
        </w:rPr>
        <w:t>第一部分</w:t>
      </w:r>
      <w:r>
        <w:rPr>
          <w:rFonts w:hint="eastAsia" w:ascii="黑体" w:hAnsi="黑体" w:eastAsia="黑体"/>
          <w:sz w:val="36"/>
          <w:szCs w:val="36"/>
        </w:rPr>
        <w:t xml:space="preserve"> </w:t>
      </w:r>
      <w:r>
        <w:rPr>
          <w:rFonts w:hint="eastAsia" w:ascii="黑体" w:eastAsia="黑体"/>
          <w:sz w:val="36"/>
          <w:szCs w:val="36"/>
        </w:rPr>
        <w:t>部门概况</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一、主要职能</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二、部门预算单位构成</w:t>
      </w:r>
    </w:p>
    <w:p>
      <w:pPr>
        <w:spacing w:line="580" w:lineRule="exact"/>
        <w:rPr>
          <w:rFonts w:ascii="黑体" w:eastAsia="黑体"/>
          <w:sz w:val="36"/>
          <w:szCs w:val="36"/>
        </w:rPr>
      </w:pPr>
      <w:r>
        <w:rPr>
          <w:rFonts w:hint="eastAsia" w:ascii="黑体" w:eastAsia="黑体"/>
          <w:sz w:val="36"/>
          <w:szCs w:val="36"/>
        </w:rPr>
        <w:t>第二部分 202</w:t>
      </w:r>
      <w:r>
        <w:rPr>
          <w:rFonts w:ascii="黑体" w:eastAsia="黑体"/>
          <w:sz w:val="36"/>
          <w:szCs w:val="36"/>
        </w:rPr>
        <w:t>2</w:t>
      </w:r>
      <w:r>
        <w:rPr>
          <w:rFonts w:hint="eastAsia" w:ascii="黑体" w:eastAsia="黑体"/>
          <w:sz w:val="36"/>
          <w:szCs w:val="36"/>
        </w:rPr>
        <w:t>年部门预算表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一、收支预算总表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二、收入预算总表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三、支出预算总表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四、财政拨款收支预算总表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五、一般公共预算支出表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六、一般公共预算基本支出预算表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七、一般公共预算“三公”经费支出预算表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八、</w:t>
      </w:r>
      <w:bookmarkStart w:id="0" w:name="_Hlk95497574"/>
      <w:r>
        <w:rPr>
          <w:rFonts w:hint="eastAsia" w:ascii="楷体_GB2312" w:eastAsia="楷体_GB2312"/>
          <w:sz w:val="32"/>
          <w:szCs w:val="32"/>
        </w:rPr>
        <w:t>政府性基金预算支出表</w:t>
      </w:r>
      <w:bookmarkEnd w:id="0"/>
    </w:p>
    <w:p>
      <w:pPr>
        <w:spacing w:line="580" w:lineRule="exact"/>
        <w:ind w:firstLine="640" w:firstLineChars="200"/>
        <w:rPr>
          <w:rFonts w:ascii="楷体_GB2312" w:eastAsia="楷体_GB2312"/>
          <w:sz w:val="32"/>
          <w:szCs w:val="32"/>
        </w:rPr>
      </w:pPr>
      <w:r>
        <w:rPr>
          <w:rFonts w:hint="eastAsia" w:ascii="楷体_GB2312" w:eastAsia="楷体_GB2312"/>
          <w:sz w:val="32"/>
          <w:szCs w:val="32"/>
        </w:rPr>
        <w:t>九、政府性基金预算基本支出预算表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十、国有资本经营预算支出表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十一、政府采购预算表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十二、基本支出预算表</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十三、项目支出预算表</w:t>
      </w:r>
    </w:p>
    <w:p>
      <w:pPr>
        <w:spacing w:line="580" w:lineRule="exact"/>
        <w:ind w:left="1602" w:hanging="1602" w:hangingChars="445"/>
        <w:rPr>
          <w:rFonts w:ascii="黑体" w:eastAsia="黑体"/>
          <w:sz w:val="36"/>
          <w:szCs w:val="36"/>
        </w:rPr>
      </w:pPr>
      <w:r>
        <w:rPr>
          <w:rFonts w:hint="eastAsia" w:ascii="黑体" w:eastAsia="黑体"/>
          <w:sz w:val="36"/>
          <w:szCs w:val="36"/>
        </w:rPr>
        <w:t>第三部分 202</w:t>
      </w:r>
      <w:r>
        <w:rPr>
          <w:rFonts w:ascii="黑体" w:eastAsia="黑体"/>
          <w:sz w:val="36"/>
          <w:szCs w:val="36"/>
        </w:rPr>
        <w:t>2</w:t>
      </w:r>
      <w:r>
        <w:rPr>
          <w:rFonts w:hint="eastAsia" w:ascii="黑体" w:eastAsia="黑体"/>
          <w:sz w:val="36"/>
          <w:szCs w:val="36"/>
        </w:rPr>
        <w:t>年部门预算情况和重要事项说明</w:t>
      </w:r>
    </w:p>
    <w:p>
      <w:pPr>
        <w:rPr>
          <w:rFonts w:ascii="黑体" w:eastAsia="黑体"/>
          <w:sz w:val="36"/>
          <w:szCs w:val="36"/>
        </w:rPr>
      </w:pPr>
      <w:r>
        <w:rPr>
          <w:rFonts w:hint="eastAsia" w:ascii="黑体" w:eastAsia="黑体"/>
          <w:sz w:val="36"/>
          <w:szCs w:val="36"/>
        </w:rPr>
        <w:t>第四部分 名词解释</w:t>
      </w:r>
    </w:p>
    <w:p>
      <w:pPr>
        <w:widowControl/>
        <w:spacing w:line="20" w:lineRule="exact"/>
        <w:jc w:val="left"/>
        <w:rPr>
          <w:rFonts w:ascii="黑体" w:eastAsia="黑体"/>
          <w:sz w:val="36"/>
          <w:szCs w:val="36"/>
        </w:rPr>
      </w:pPr>
      <w:r>
        <w:rPr>
          <w:rFonts w:ascii="黑体" w:eastAsia="黑体"/>
          <w:sz w:val="36"/>
          <w:szCs w:val="36"/>
        </w:rPr>
        <w:br w:type="page"/>
      </w:r>
    </w:p>
    <w:p>
      <w:pPr>
        <w:rPr>
          <w:rFonts w:ascii="黑体" w:eastAsia="黑体"/>
          <w:sz w:val="52"/>
          <w:szCs w:val="52"/>
        </w:rPr>
      </w:pPr>
      <w:r>
        <w:rPr>
          <w:rFonts w:hint="eastAsia" w:ascii="黑体" w:eastAsia="黑体"/>
          <w:sz w:val="52"/>
          <w:szCs w:val="52"/>
        </w:rPr>
        <w:t>第一部分</w:t>
      </w: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r>
        <w:rPr>
          <w:rFonts w:hint="eastAsia" w:ascii="黑体" w:eastAsia="黑体"/>
          <w:sz w:val="52"/>
          <w:szCs w:val="52"/>
        </w:rPr>
        <w:t>部门概况</w:t>
      </w: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spacing w:line="580" w:lineRule="exact"/>
        <w:ind w:firstLine="723" w:firstLineChars="200"/>
        <w:rPr>
          <w:rFonts w:ascii="黑体" w:eastAsia="黑体"/>
          <w:sz w:val="32"/>
          <w:szCs w:val="32"/>
        </w:rPr>
      </w:pPr>
      <w:r>
        <w:rPr>
          <w:rFonts w:ascii="黑体" w:eastAsia="黑体"/>
          <w:b/>
          <w:sz w:val="36"/>
          <w:szCs w:val="36"/>
        </w:rPr>
        <w:br w:type="page"/>
      </w:r>
      <w:r>
        <w:rPr>
          <w:rFonts w:hint="eastAsia" w:ascii="黑体" w:eastAsia="黑体"/>
          <w:bCs/>
          <w:sz w:val="36"/>
          <w:szCs w:val="36"/>
        </w:rPr>
        <w:t>一、</w:t>
      </w:r>
      <w:r>
        <w:rPr>
          <w:rFonts w:hint="eastAsia" w:ascii="黑体" w:eastAsia="黑体"/>
          <w:sz w:val="32"/>
          <w:szCs w:val="32"/>
        </w:rPr>
        <w:t>主要职能</w:t>
      </w:r>
    </w:p>
    <w:p>
      <w:pPr>
        <w:snapToGrid w:val="0"/>
        <w:spacing w:line="580" w:lineRule="exact"/>
        <w:ind w:firstLine="640" w:firstLineChars="200"/>
        <w:rPr>
          <w:rFonts w:hint="eastAsia" w:ascii="仿宋_GB2312" w:hAnsi="宋体" w:eastAsia="仿宋_GB2312" w:cs="Courier New"/>
          <w:sz w:val="32"/>
          <w:szCs w:val="32"/>
        </w:rPr>
      </w:pPr>
      <w:r>
        <w:rPr>
          <w:rFonts w:hint="eastAsia" w:ascii="仿宋_GB2312" w:hAnsi="宋体" w:eastAsia="仿宋_GB2312" w:cs="Courier New"/>
          <w:sz w:val="32"/>
          <w:szCs w:val="32"/>
        </w:rPr>
        <w:t>（一）主管全市审计工作。负责对全市财政收支和法律法规规定属于审计监督范围的财务收支的真实、合法和效益情况进行审计监督，对公共资金、国有资产、国有资源和领导干部履行经济责任情况实行审计全覆盖，对领导干部实行自然资源资产离任审计，对国家有关重大政策措施、省市有关重要工作部署贯彻落实情况进行跟踪审计。对审计、专项审计调查和核查社会审计机构相关审计报告的结果承担责任，并负有督促被审计单位整改的责任。</w:t>
      </w:r>
    </w:p>
    <w:p>
      <w:pPr>
        <w:snapToGrid w:val="0"/>
        <w:spacing w:line="580" w:lineRule="exact"/>
        <w:ind w:firstLine="640" w:firstLineChars="200"/>
        <w:rPr>
          <w:rFonts w:hint="eastAsia" w:ascii="仿宋_GB2312" w:hAnsi="宋体" w:eastAsia="仿宋_GB2312" w:cs="Courier New"/>
          <w:sz w:val="32"/>
          <w:szCs w:val="32"/>
        </w:rPr>
      </w:pPr>
      <w:r>
        <w:rPr>
          <w:rFonts w:hint="eastAsia" w:ascii="仿宋_GB2312" w:hAnsi="宋体" w:eastAsia="仿宋_GB2312" w:cs="Courier New"/>
          <w:sz w:val="32"/>
          <w:szCs w:val="32"/>
        </w:rPr>
        <w:t>（二）贯彻执行审计法律法规和方针政策。向市委审计委员会提出年度市级预算执行和其他财政支出情况审计报告。直接审计下列事项，出具审计报告，在法定职权范围内作出审计决定或者向有关主管机关提出处理处罚的建议，包括国家有关重大政策措施、省市有关重要工作部署贯彻落实情况；市级预算执行情况和其他财政收支，市级决算草案，市直各部门预算执行情况；镇政府预算执行情况、决算和其他财政收支，市政府转移支付资金等。</w:t>
      </w:r>
    </w:p>
    <w:p>
      <w:pPr>
        <w:snapToGrid w:val="0"/>
        <w:spacing w:line="580" w:lineRule="exact"/>
        <w:ind w:firstLine="640" w:firstLineChars="200"/>
        <w:rPr>
          <w:rFonts w:hint="eastAsia" w:ascii="仿宋_GB2312" w:hAnsi="宋体" w:eastAsia="仿宋_GB2312" w:cs="Courier New"/>
          <w:sz w:val="32"/>
          <w:szCs w:val="32"/>
        </w:rPr>
      </w:pPr>
      <w:r>
        <w:rPr>
          <w:rFonts w:hint="eastAsia" w:ascii="仿宋_GB2312" w:hAnsi="宋体" w:eastAsia="仿宋_GB2312" w:cs="Courier New"/>
          <w:sz w:val="32"/>
          <w:szCs w:val="32"/>
        </w:rPr>
        <w:t>依法检查审计决定执行情况，督促整改审计查出的问题。指导和监督内部审计工作，核查社会审计机构对依法属于审计监督对象的单位出具的相关审计报告。指导和推广信息技术在审计领域的应用。</w:t>
      </w:r>
    </w:p>
    <w:p>
      <w:pPr>
        <w:snapToGrid w:val="0"/>
        <w:spacing w:line="580" w:lineRule="exact"/>
        <w:ind w:firstLine="640" w:firstLineChars="200"/>
        <w:rPr>
          <w:rFonts w:ascii="黑体" w:eastAsia="黑体"/>
          <w:sz w:val="32"/>
          <w:szCs w:val="32"/>
        </w:rPr>
      </w:pPr>
      <w:r>
        <w:rPr>
          <w:rFonts w:hint="eastAsia" w:ascii="黑体" w:eastAsia="黑体"/>
          <w:sz w:val="32"/>
          <w:szCs w:val="32"/>
        </w:rPr>
        <w:t>二、部门预算单位构成</w:t>
      </w:r>
    </w:p>
    <w:p>
      <w:pPr>
        <w:snapToGrid w:val="0"/>
        <w:spacing w:line="580" w:lineRule="exact"/>
        <w:ind w:firstLine="640" w:firstLineChars="200"/>
        <w:rPr>
          <w:rFonts w:ascii="仿宋_GB2312" w:eastAsia="仿宋_GB2312" w:cs="Courier New"/>
          <w:sz w:val="32"/>
          <w:szCs w:val="32"/>
        </w:rPr>
      </w:pPr>
      <w:r>
        <w:rPr>
          <w:rFonts w:hint="eastAsia" w:ascii="仿宋_GB2312" w:hAnsi="宋体" w:eastAsia="仿宋_GB2312" w:cs="Courier New"/>
          <w:sz w:val="32"/>
          <w:szCs w:val="32"/>
        </w:rPr>
        <w:t>招远市审计局部门预算包括：</w:t>
      </w:r>
      <w:r>
        <w:rPr>
          <w:rFonts w:hint="eastAsia" w:ascii="仿宋_GB2312" w:hAnsi="宋体" w:eastAsia="仿宋_GB2312" w:cs="Courier New"/>
          <w:sz w:val="32"/>
          <w:szCs w:val="32"/>
          <w:lang w:val="en-US" w:eastAsia="zh-CN"/>
        </w:rPr>
        <w:t>局</w:t>
      </w:r>
      <w:r>
        <w:rPr>
          <w:rFonts w:hint="eastAsia" w:ascii="仿宋_GB2312" w:hAnsi="宋体" w:eastAsia="仿宋_GB2312" w:cs="Courier New"/>
          <w:sz w:val="32"/>
          <w:szCs w:val="32"/>
        </w:rPr>
        <w:t>机关预算、</w:t>
      </w:r>
      <w:r>
        <w:rPr>
          <w:rFonts w:hint="eastAsia" w:ascii="仿宋_GB2312" w:hAnsi="宋体" w:eastAsia="仿宋_GB2312" w:cs="Courier New"/>
          <w:sz w:val="32"/>
          <w:szCs w:val="32"/>
          <w:lang w:val="en-US" w:eastAsia="zh-CN"/>
        </w:rPr>
        <w:t>局</w:t>
      </w:r>
      <w:r>
        <w:rPr>
          <w:rFonts w:hint="eastAsia" w:ascii="仿宋_GB2312" w:hAnsi="宋体" w:eastAsia="仿宋_GB2312" w:cs="Courier New"/>
          <w:sz w:val="32"/>
          <w:szCs w:val="32"/>
        </w:rPr>
        <w:t>属事业单位预算。</w:t>
      </w:r>
    </w:p>
    <w:p>
      <w:pPr>
        <w:spacing w:line="580" w:lineRule="exact"/>
        <w:ind w:firstLine="640" w:firstLineChars="200"/>
        <w:rPr>
          <w:rFonts w:ascii="仿宋_GB2312" w:hAnsi="宋体" w:eastAsia="仿宋_GB2312" w:cs="Courier New"/>
          <w:sz w:val="32"/>
          <w:szCs w:val="32"/>
        </w:rPr>
      </w:pPr>
      <w:r>
        <w:rPr>
          <w:rFonts w:hint="eastAsia" w:ascii="仿宋_GB2312" w:hAnsi="宋体" w:eastAsia="仿宋_GB2312" w:cs="Courier New"/>
          <w:sz w:val="32"/>
          <w:szCs w:val="32"/>
        </w:rPr>
        <w:t>纳入</w:t>
      </w:r>
      <w:r>
        <w:rPr>
          <w:rFonts w:hint="eastAsia" w:ascii="仿宋_GB2312" w:hAnsi="宋体" w:eastAsia="仿宋_GB2312" w:cs="Courier New"/>
          <w:sz w:val="32"/>
          <w:szCs w:val="32"/>
          <w:lang w:val="en-US" w:eastAsia="zh-CN"/>
        </w:rPr>
        <w:t>招远市审计</w:t>
      </w:r>
      <w:r>
        <w:rPr>
          <w:rFonts w:hint="eastAsia" w:ascii="仿宋_GB2312" w:hAnsi="宋体" w:eastAsia="仿宋_GB2312" w:cs="Courier New"/>
          <w:sz w:val="32"/>
          <w:szCs w:val="32"/>
        </w:rPr>
        <w:t>局202</w:t>
      </w:r>
      <w:r>
        <w:rPr>
          <w:rFonts w:ascii="仿宋_GB2312" w:hAnsi="宋体" w:eastAsia="仿宋_GB2312" w:cs="Courier New"/>
          <w:sz w:val="32"/>
          <w:szCs w:val="32"/>
        </w:rPr>
        <w:t>2</w:t>
      </w:r>
      <w:r>
        <w:rPr>
          <w:rFonts w:hint="eastAsia" w:ascii="仿宋_GB2312" w:hAnsi="宋体" w:eastAsia="仿宋_GB2312" w:cs="Courier New"/>
          <w:sz w:val="32"/>
          <w:szCs w:val="32"/>
        </w:rPr>
        <w:t>年部门预算编制范围的二级预算单位包括：</w:t>
      </w:r>
    </w:p>
    <w:p>
      <w:pPr>
        <w:spacing w:line="580" w:lineRule="exact"/>
        <w:ind w:firstLine="640" w:firstLineChars="200"/>
        <w:rPr>
          <w:rFonts w:ascii="仿宋_GB2312" w:hAnsi="宋体" w:eastAsia="仿宋_GB2312" w:cs="Courier New"/>
          <w:sz w:val="32"/>
          <w:szCs w:val="32"/>
        </w:rPr>
      </w:pPr>
      <w:r>
        <w:rPr>
          <w:rFonts w:hint="eastAsia" w:ascii="仿宋_GB2312" w:hAnsi="宋体" w:eastAsia="仿宋_GB2312" w:cs="Courier New"/>
          <w:sz w:val="32"/>
          <w:szCs w:val="32"/>
        </w:rPr>
        <w:t>1.</w:t>
      </w:r>
      <w:r>
        <w:rPr>
          <w:rFonts w:hint="eastAsia" w:ascii="仿宋_GB2312" w:hAnsi="宋体" w:eastAsia="仿宋_GB2312" w:cs="Courier New"/>
          <w:sz w:val="32"/>
          <w:szCs w:val="32"/>
          <w:lang w:val="en-US" w:eastAsia="zh-CN"/>
        </w:rPr>
        <w:t>招远市审计</w:t>
      </w:r>
      <w:r>
        <w:rPr>
          <w:rFonts w:hint="eastAsia" w:ascii="仿宋_GB2312" w:hAnsi="宋体" w:eastAsia="仿宋_GB2312" w:cs="Courier New"/>
          <w:sz w:val="32"/>
          <w:szCs w:val="32"/>
        </w:rPr>
        <w:t>局机关</w:t>
      </w:r>
    </w:p>
    <w:p>
      <w:pPr>
        <w:spacing w:line="580" w:lineRule="exact"/>
        <w:ind w:firstLine="640" w:firstLineChars="200"/>
        <w:rPr>
          <w:rFonts w:ascii="仿宋_GB2312" w:hAnsi="宋体" w:eastAsia="仿宋_GB2312" w:cs="Courier New"/>
          <w:sz w:val="32"/>
          <w:szCs w:val="32"/>
        </w:rPr>
      </w:pPr>
      <w:r>
        <w:rPr>
          <w:rFonts w:hint="eastAsia" w:ascii="仿宋_GB2312" w:hAnsi="宋体" w:eastAsia="仿宋_GB2312" w:cs="Courier New"/>
          <w:sz w:val="32"/>
          <w:szCs w:val="32"/>
        </w:rPr>
        <w:t>2.招远市经济责任审计服务中心</w:t>
      </w:r>
    </w:p>
    <w:p>
      <w:pPr>
        <w:widowControl/>
        <w:jc w:val="left"/>
        <w:rPr>
          <w:rFonts w:ascii="黑体" w:eastAsia="黑体"/>
          <w:b/>
          <w:sz w:val="48"/>
          <w:szCs w:val="48"/>
        </w:rPr>
      </w:pPr>
      <w:r>
        <w:rPr>
          <w:rFonts w:ascii="黑体" w:eastAsia="黑体"/>
          <w:b/>
          <w:sz w:val="48"/>
          <w:szCs w:val="48"/>
        </w:rPr>
        <w:br w:type="page"/>
      </w:r>
    </w:p>
    <w:p>
      <w:pPr>
        <w:rPr>
          <w:rFonts w:ascii="黑体" w:eastAsia="黑体"/>
          <w:sz w:val="52"/>
          <w:szCs w:val="52"/>
        </w:rPr>
      </w:pPr>
      <w:r>
        <w:rPr>
          <w:rFonts w:hint="eastAsia" w:ascii="黑体" w:eastAsia="黑体"/>
          <w:sz w:val="52"/>
          <w:szCs w:val="52"/>
        </w:rPr>
        <w:t>第二部分</w:t>
      </w: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r>
        <w:rPr>
          <w:rFonts w:hint="eastAsia" w:ascii="黑体" w:eastAsia="黑体"/>
          <w:sz w:val="52"/>
          <w:szCs w:val="52"/>
        </w:rPr>
        <w:t>202</w:t>
      </w:r>
      <w:r>
        <w:rPr>
          <w:rFonts w:ascii="黑体" w:eastAsia="黑体"/>
          <w:sz w:val="52"/>
          <w:szCs w:val="52"/>
        </w:rPr>
        <w:t>2</w:t>
      </w:r>
      <w:r>
        <w:rPr>
          <w:rFonts w:hint="eastAsia" w:ascii="黑体" w:eastAsia="黑体"/>
          <w:sz w:val="52"/>
          <w:szCs w:val="52"/>
        </w:rPr>
        <w:t>年部门预算表</w:t>
      </w: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widowControl/>
        <w:jc w:val="left"/>
        <w:rPr>
          <w:rFonts w:ascii="仿宋_GB2312" w:eastAsia="仿宋_GB2312"/>
          <w:b/>
          <w:sz w:val="30"/>
          <w:szCs w:val="30"/>
        </w:rPr>
      </w:pPr>
      <w:r>
        <w:rPr>
          <w:rFonts w:ascii="仿宋_GB2312" w:eastAsia="仿宋_GB2312"/>
          <w:b/>
          <w:sz w:val="30"/>
          <w:szCs w:val="30"/>
        </w:rPr>
        <w:br w:type="page"/>
      </w:r>
    </w:p>
    <w:p>
      <w:pPr>
        <w:jc w:val="right"/>
        <w:rPr>
          <w:rFonts w:ascii="黑体" w:hAnsi="黑体" w:eastAsia="黑体"/>
          <w:bCs/>
          <w:szCs w:val="21"/>
        </w:rPr>
      </w:pPr>
      <w:r>
        <w:rPr>
          <w:rFonts w:hint="eastAsia" w:ascii="黑体" w:hAnsi="黑体" w:eastAsia="黑体"/>
          <w:bCs/>
          <w:szCs w:val="21"/>
        </w:rPr>
        <w:t>部门公开表1</w:t>
      </w:r>
    </w:p>
    <w:p>
      <w:pPr>
        <w:jc w:val="center"/>
        <w:rPr>
          <w:rFonts w:ascii="黑体" w:hAnsi="黑体" w:eastAsia="黑体" w:cs="宋体"/>
          <w:bCs/>
          <w:kern w:val="0"/>
          <w:sz w:val="32"/>
          <w:szCs w:val="32"/>
        </w:rPr>
      </w:pPr>
      <w:bookmarkStart w:id="1" w:name="RANGE!A2:D28"/>
      <w:r>
        <w:rPr>
          <w:rFonts w:hint="eastAsia" w:ascii="黑体" w:hAnsi="黑体" w:eastAsia="黑体"/>
          <w:bCs/>
          <w:sz w:val="28"/>
          <w:szCs w:val="28"/>
        </w:rPr>
        <w:t>收支预算总表</w:t>
      </w:r>
      <w:bookmarkEnd w:id="1"/>
    </w:p>
    <w:p>
      <w:pPr>
        <w:jc w:val="right"/>
        <w:rPr>
          <w:rFonts w:ascii="仿宋_GB2312" w:hAnsi="宋体" w:eastAsia="仿宋_GB2312" w:cs="宋体"/>
          <w:kern w:val="0"/>
          <w:szCs w:val="21"/>
        </w:rPr>
      </w:pPr>
      <w:r>
        <w:rPr>
          <w:rFonts w:hint="eastAsia" w:ascii="仿宋_GB2312" w:hAnsi="宋体" w:eastAsia="仿宋_GB2312" w:cs="宋体"/>
          <w:kern w:val="0"/>
          <w:szCs w:val="21"/>
        </w:rPr>
        <w:t>单位：万元</w:t>
      </w:r>
    </w:p>
    <w:tbl>
      <w:tblPr>
        <w:tblStyle w:val="9"/>
        <w:tblW w:w="9398" w:type="dxa"/>
        <w:jc w:val="center"/>
        <w:tblLayout w:type="fixed"/>
        <w:tblCellMar>
          <w:top w:w="0" w:type="dxa"/>
          <w:left w:w="108" w:type="dxa"/>
          <w:bottom w:w="0" w:type="dxa"/>
          <w:right w:w="108" w:type="dxa"/>
        </w:tblCellMar>
      </w:tblPr>
      <w:tblGrid>
        <w:gridCol w:w="2974"/>
        <w:gridCol w:w="1704"/>
        <w:gridCol w:w="2967"/>
        <w:gridCol w:w="1753"/>
      </w:tblGrid>
      <w:tr>
        <w:tblPrEx>
          <w:tblCellMar>
            <w:top w:w="0" w:type="dxa"/>
            <w:left w:w="108" w:type="dxa"/>
            <w:bottom w:w="0" w:type="dxa"/>
            <w:right w:w="108" w:type="dxa"/>
          </w:tblCellMar>
        </w:tblPrEx>
        <w:trPr>
          <w:trHeight w:val="340" w:hRule="atLeast"/>
          <w:jc w:val="center"/>
        </w:trPr>
        <w:tc>
          <w:tcPr>
            <w:tcW w:w="467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kern w:val="0"/>
                <w:sz w:val="18"/>
                <w:szCs w:val="18"/>
              </w:rPr>
            </w:pPr>
            <w:r>
              <w:rPr>
                <w:rFonts w:hint="eastAsia" w:ascii="宋体" w:hAnsi="宋体" w:eastAsia="宋体" w:cs="宋体"/>
                <w:b/>
                <w:i w:val="0"/>
                <w:color w:val="000000"/>
                <w:kern w:val="0"/>
                <w:sz w:val="18"/>
                <w:szCs w:val="18"/>
                <w:u w:val="none"/>
                <w:lang w:val="en-US" w:eastAsia="zh-CN" w:bidi="ar"/>
              </w:rPr>
              <w:t>收      入</w:t>
            </w:r>
          </w:p>
        </w:tc>
        <w:tc>
          <w:tcPr>
            <w:tcW w:w="4720" w:type="dxa"/>
            <w:gridSpan w:val="2"/>
            <w:tcBorders>
              <w:top w:val="single" w:color="auto" w:sz="4" w:space="0"/>
              <w:left w:val="nil"/>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kern w:val="0"/>
                <w:sz w:val="18"/>
                <w:szCs w:val="18"/>
              </w:rPr>
            </w:pPr>
            <w:r>
              <w:rPr>
                <w:rFonts w:hint="eastAsia" w:ascii="宋体" w:hAnsi="宋体" w:eastAsia="宋体" w:cs="宋体"/>
                <w:b/>
                <w:i w:val="0"/>
                <w:color w:val="000000"/>
                <w:kern w:val="0"/>
                <w:sz w:val="18"/>
                <w:szCs w:val="18"/>
                <w:u w:val="none"/>
                <w:lang w:val="en-US" w:eastAsia="zh-CN" w:bidi="ar"/>
              </w:rPr>
              <w:t>支      出</w:t>
            </w: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kern w:val="0"/>
                <w:sz w:val="18"/>
                <w:szCs w:val="18"/>
              </w:rPr>
            </w:pPr>
            <w:r>
              <w:rPr>
                <w:rFonts w:hint="eastAsia" w:ascii="宋体" w:hAnsi="宋体" w:eastAsia="宋体" w:cs="宋体"/>
                <w:b/>
                <w:i w:val="0"/>
                <w:color w:val="000000"/>
                <w:kern w:val="0"/>
                <w:sz w:val="18"/>
                <w:szCs w:val="18"/>
                <w:u w:val="none"/>
                <w:lang w:val="en-US" w:eastAsia="zh-CN" w:bidi="ar"/>
              </w:rPr>
              <w:t>项    目</w:t>
            </w:r>
          </w:p>
        </w:tc>
        <w:tc>
          <w:tcPr>
            <w:tcW w:w="1704"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kern w:val="0"/>
                <w:sz w:val="18"/>
                <w:szCs w:val="18"/>
              </w:rPr>
            </w:pPr>
            <w:r>
              <w:rPr>
                <w:rFonts w:hint="eastAsia" w:ascii="宋体" w:hAnsi="宋体" w:eastAsia="宋体" w:cs="宋体"/>
                <w:b/>
                <w:i w:val="0"/>
                <w:color w:val="000000"/>
                <w:kern w:val="0"/>
                <w:sz w:val="18"/>
                <w:szCs w:val="18"/>
                <w:u w:val="none"/>
                <w:lang w:val="en-US" w:eastAsia="zh-CN" w:bidi="ar"/>
              </w:rPr>
              <w:t>预算数</w:t>
            </w:r>
          </w:p>
        </w:tc>
        <w:tc>
          <w:tcPr>
            <w:tcW w:w="2967" w:type="dxa"/>
            <w:tcBorders>
              <w:top w:val="nil"/>
              <w:left w:val="nil"/>
              <w:bottom w:val="single" w:color="auto" w:sz="4" w:space="0"/>
              <w:right w:val="nil"/>
            </w:tcBorders>
            <w:vAlign w:val="center"/>
          </w:tcPr>
          <w:p>
            <w:pPr>
              <w:keepNext w:val="0"/>
              <w:keepLines w:val="0"/>
              <w:widowControl/>
              <w:suppressLineNumbers w:val="0"/>
              <w:jc w:val="center"/>
              <w:textAlignment w:val="center"/>
              <w:rPr>
                <w:rFonts w:ascii="黑体" w:hAnsi="黑体" w:eastAsia="黑体" w:cs="宋体"/>
                <w:kern w:val="0"/>
                <w:sz w:val="18"/>
                <w:szCs w:val="18"/>
              </w:rPr>
            </w:pPr>
            <w:r>
              <w:rPr>
                <w:rFonts w:hint="eastAsia" w:ascii="宋体" w:hAnsi="宋体" w:eastAsia="宋体" w:cs="宋体"/>
                <w:b/>
                <w:i w:val="0"/>
                <w:color w:val="000000"/>
                <w:kern w:val="0"/>
                <w:sz w:val="18"/>
                <w:szCs w:val="18"/>
                <w:u w:val="none"/>
                <w:lang w:val="en-US" w:eastAsia="zh-CN" w:bidi="ar"/>
              </w:rPr>
              <w:t>项    目</w:t>
            </w:r>
          </w:p>
        </w:tc>
        <w:tc>
          <w:tcPr>
            <w:tcW w:w="175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黑体" w:hAnsi="黑体" w:eastAsia="黑体" w:cs="宋体"/>
                <w:kern w:val="0"/>
                <w:sz w:val="18"/>
                <w:szCs w:val="18"/>
              </w:rPr>
            </w:pPr>
            <w:r>
              <w:rPr>
                <w:rFonts w:hint="eastAsia" w:ascii="宋体" w:hAnsi="宋体" w:eastAsia="宋体" w:cs="宋体"/>
                <w:b/>
                <w:i w:val="0"/>
                <w:color w:val="000000"/>
                <w:kern w:val="0"/>
                <w:sz w:val="18"/>
                <w:szCs w:val="18"/>
                <w:u w:val="none"/>
                <w:lang w:val="en-US" w:eastAsia="zh-CN" w:bidi="ar"/>
              </w:rPr>
              <w:t>预算数</w:t>
            </w: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一、财政拨款收入</w:t>
            </w:r>
          </w:p>
        </w:tc>
        <w:tc>
          <w:tcPr>
            <w:tcW w:w="1704"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296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一、一般公共服务支出</w:t>
            </w:r>
          </w:p>
        </w:tc>
        <w:tc>
          <w:tcPr>
            <w:tcW w:w="175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540.42</w:t>
            </w: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 xml:space="preserve">  一般公共预算拨款收入</w:t>
            </w:r>
          </w:p>
        </w:tc>
        <w:tc>
          <w:tcPr>
            <w:tcW w:w="1704"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二、外交支出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 xml:space="preserve">  政府性基金预算拨款收入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三、国防支出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 xml:space="preserve">  国有资本经营预算拨款收入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四、公共安全支出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二、财政专户管理资金收入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五、教育支出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三、事业收入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六、科学技术支出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四、事业单位经营收入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七、文化旅游体育与传媒支出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五、上级补助收入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八、社会保障和就业支出</w:t>
            </w:r>
          </w:p>
        </w:tc>
        <w:tc>
          <w:tcPr>
            <w:tcW w:w="175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44.29</w:t>
            </w: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六、附属单位上缴收入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九、卫生健康支出</w:t>
            </w:r>
          </w:p>
        </w:tc>
        <w:tc>
          <w:tcPr>
            <w:tcW w:w="1753"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30.45</w:t>
            </w: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七、其他收入</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十、节能环保支出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十一、城乡社区支出</w:t>
            </w:r>
          </w:p>
        </w:tc>
        <w:tc>
          <w:tcPr>
            <w:tcW w:w="1753" w:type="dxa"/>
            <w:tcBorders>
              <w:top w:val="nil"/>
              <w:left w:val="single" w:color="auto" w:sz="4" w:space="0"/>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十二、农林水支出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十三、交通运输支出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十四、资源勘探工业信息等支出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十五、商业服务业等支出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single" w:color="000000" w:sz="4" w:space="0"/>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十六、金融支出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000000" w:sz="4" w:space="0"/>
              <w:bottom w:val="nil"/>
              <w:right w:val="single" w:color="000000"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十七、援助其他地区支出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十八、自然资源海洋气象等支出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十九、住房保障支出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二十、粮油物资储备支出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二十一、国有资本经营预算支出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二十二、灾害防治及应急管理支出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仿宋_GB2312" w:eastAsia="仿宋_GB2312"/>
                <w:sz w:val="18"/>
                <w:szCs w:val="18"/>
              </w:rPr>
            </w:pPr>
            <w:r>
              <w:rPr>
                <w:rFonts w:hint="eastAsia" w:ascii="宋体" w:hAnsi="宋体" w:eastAsia="宋体" w:cs="宋体"/>
                <w:i w:val="0"/>
                <w:color w:val="000000"/>
                <w:kern w:val="0"/>
                <w:sz w:val="20"/>
                <w:szCs w:val="20"/>
                <w:u w:val="none"/>
                <w:lang w:val="en-US" w:eastAsia="zh-CN" w:bidi="ar"/>
              </w:rPr>
              <w:t>二十三、其他支出</w:t>
            </w:r>
          </w:p>
        </w:tc>
        <w:tc>
          <w:tcPr>
            <w:tcW w:w="1753"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nil"/>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53" w:type="dxa"/>
            <w:tcBorders>
              <w:top w:val="nil"/>
              <w:left w:val="nil"/>
              <w:bottom w:val="single" w:color="auto" w:sz="4" w:space="0"/>
              <w:right w:val="single" w:color="auto" w:sz="4" w:space="0"/>
            </w:tcBorders>
            <w:vAlign w:val="center"/>
          </w:tcPr>
          <w:p>
            <w:pPr>
              <w:jc w:val="left"/>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宋体" w:eastAsia="仿宋_GB2312" w:cs="宋体"/>
                <w:kern w:val="0"/>
                <w:sz w:val="18"/>
                <w:szCs w:val="18"/>
              </w:rPr>
            </w:pPr>
            <w:r>
              <w:rPr>
                <w:rFonts w:hint="eastAsia" w:ascii="宋体" w:hAnsi="宋体" w:eastAsia="宋体" w:cs="宋体"/>
                <w:b/>
                <w:i w:val="0"/>
                <w:color w:val="000000"/>
                <w:kern w:val="0"/>
                <w:sz w:val="18"/>
                <w:szCs w:val="18"/>
                <w:u w:val="none"/>
                <w:lang w:val="en-US" w:eastAsia="zh-CN" w:bidi="ar"/>
              </w:rPr>
              <w:t>本年收入合计</w:t>
            </w:r>
          </w:p>
        </w:tc>
        <w:tc>
          <w:tcPr>
            <w:tcW w:w="1704"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2967" w:type="dxa"/>
            <w:tcBorders>
              <w:top w:val="nil"/>
              <w:left w:val="nil"/>
              <w:bottom w:val="single" w:color="auto" w:sz="4" w:space="0"/>
              <w:right w:val="single" w:color="auto" w:sz="4" w:space="0"/>
            </w:tcBorders>
            <w:vAlign w:val="center"/>
          </w:tcPr>
          <w:p>
            <w:pPr>
              <w:keepNext w:val="0"/>
              <w:keepLines w:val="0"/>
              <w:widowControl/>
              <w:suppressLineNumbers w:val="0"/>
              <w:jc w:val="center"/>
              <w:textAlignment w:val="center"/>
              <w:rPr>
                <w:rFonts w:ascii="仿宋_GB2312" w:hAnsi="宋体" w:eastAsia="仿宋_GB2312" w:cs="宋体"/>
                <w:kern w:val="0"/>
                <w:sz w:val="18"/>
                <w:szCs w:val="18"/>
              </w:rPr>
            </w:pPr>
            <w:r>
              <w:rPr>
                <w:rFonts w:hint="eastAsia" w:ascii="宋体" w:hAnsi="宋体" w:eastAsia="宋体" w:cs="宋体"/>
                <w:b/>
                <w:i w:val="0"/>
                <w:color w:val="000000"/>
                <w:kern w:val="0"/>
                <w:sz w:val="18"/>
                <w:szCs w:val="18"/>
                <w:u w:val="none"/>
                <w:lang w:val="en-US" w:eastAsia="zh-CN" w:bidi="ar"/>
              </w:rPr>
              <w:t>本年支出合计</w:t>
            </w:r>
          </w:p>
        </w:tc>
        <w:tc>
          <w:tcPr>
            <w:tcW w:w="1753" w:type="dxa"/>
            <w:tcBorders>
              <w:top w:val="nil"/>
              <w:left w:val="nil"/>
              <w:bottom w:val="single" w:color="auto" w:sz="4" w:space="0"/>
              <w:right w:val="single" w:color="auto" w:sz="4" w:space="0"/>
            </w:tcBorders>
            <w:vAlign w:val="center"/>
          </w:tcPr>
          <w:p>
            <w:pPr>
              <w:keepNext w:val="0"/>
              <w:keepLines w:val="0"/>
              <w:widowControl/>
              <w:suppressLineNumbers w:val="0"/>
              <w:jc w:val="righ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615.16</w:t>
            </w: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使用非财政拨款结余</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nil"/>
              <w:bottom w:val="single" w:color="auto" w:sz="4" w:space="0"/>
              <w:right w:val="single" w:color="auto" w:sz="4" w:space="0"/>
            </w:tcBorders>
            <w:vAlign w:val="center"/>
          </w:tcPr>
          <w:p>
            <w:pPr>
              <w:jc w:val="center"/>
              <w:rPr>
                <w:rFonts w:ascii="仿宋_GB2312" w:hAnsi="宋体" w:eastAsia="仿宋_GB2312" w:cs="宋体"/>
                <w:kern w:val="0"/>
                <w:sz w:val="18"/>
                <w:szCs w:val="18"/>
              </w:rPr>
            </w:pPr>
          </w:p>
        </w:tc>
        <w:tc>
          <w:tcPr>
            <w:tcW w:w="1753" w:type="dxa"/>
            <w:tcBorders>
              <w:top w:val="nil"/>
              <w:left w:val="nil"/>
              <w:bottom w:val="single" w:color="auto" w:sz="4" w:space="0"/>
              <w:right w:val="single" w:color="auto" w:sz="4" w:space="0"/>
            </w:tcBorders>
            <w:vAlign w:val="bottom"/>
          </w:tcPr>
          <w:p>
            <w:pP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上年结转</w:t>
            </w: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nil"/>
              <w:bottom w:val="single" w:color="auto" w:sz="4" w:space="0"/>
              <w:right w:val="single" w:color="auto" w:sz="4" w:space="0"/>
            </w:tcBorders>
            <w:vAlign w:val="center"/>
          </w:tcPr>
          <w:p>
            <w:pPr>
              <w:keepNext w:val="0"/>
              <w:keepLines w:val="0"/>
              <w:widowControl/>
              <w:suppressLineNumbers w:val="0"/>
              <w:jc w:val="left"/>
              <w:textAlignment w:val="center"/>
              <w:rPr>
                <w:rFonts w:ascii="仿宋_GB2312" w:hAnsi="宋体" w:eastAsia="仿宋_GB2312" w:cs="宋体"/>
                <w:kern w:val="0"/>
                <w:sz w:val="18"/>
                <w:szCs w:val="18"/>
              </w:rPr>
            </w:pPr>
            <w:r>
              <w:rPr>
                <w:rFonts w:hint="eastAsia" w:ascii="宋体" w:hAnsi="宋体" w:eastAsia="宋体" w:cs="宋体"/>
                <w:i w:val="0"/>
                <w:color w:val="000000"/>
                <w:kern w:val="0"/>
                <w:sz w:val="20"/>
                <w:szCs w:val="20"/>
                <w:u w:val="none"/>
                <w:lang w:val="en-US" w:eastAsia="zh-CN" w:bidi="ar"/>
              </w:rPr>
              <w:t>结转下年</w:t>
            </w:r>
          </w:p>
        </w:tc>
        <w:tc>
          <w:tcPr>
            <w:tcW w:w="1753" w:type="dxa"/>
            <w:tcBorders>
              <w:top w:val="nil"/>
              <w:left w:val="nil"/>
              <w:bottom w:val="single" w:color="auto" w:sz="4" w:space="0"/>
              <w:right w:val="single" w:color="auto" w:sz="4" w:space="0"/>
            </w:tcBorders>
            <w:vAlign w:val="bottom"/>
          </w:tcPr>
          <w:p>
            <w:pPr>
              <w:rPr>
                <w:rFonts w:ascii="仿宋_GB2312" w:hAnsi="宋体" w:eastAsia="仿宋_GB2312" w:cs="宋体"/>
                <w:kern w:val="0"/>
                <w:sz w:val="18"/>
                <w:szCs w:val="18"/>
              </w:rPr>
            </w:pPr>
          </w:p>
        </w:tc>
      </w:tr>
      <w:tr>
        <w:tblPrEx>
          <w:tblCellMar>
            <w:top w:w="0" w:type="dxa"/>
            <w:left w:w="108" w:type="dxa"/>
            <w:bottom w:w="0" w:type="dxa"/>
            <w:right w:w="108" w:type="dxa"/>
          </w:tblCellMar>
        </w:tblPrEx>
        <w:trPr>
          <w:trHeight w:val="340" w:hRule="atLeast"/>
          <w:jc w:val="center"/>
        </w:trPr>
        <w:tc>
          <w:tcPr>
            <w:tcW w:w="2974" w:type="dxa"/>
            <w:tcBorders>
              <w:top w:val="nil"/>
              <w:left w:val="single" w:color="auto" w:sz="4" w:space="0"/>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04" w:type="dxa"/>
            <w:tcBorders>
              <w:top w:val="nil"/>
              <w:left w:val="nil"/>
              <w:bottom w:val="single" w:color="auto" w:sz="4" w:space="0"/>
              <w:right w:val="single" w:color="auto" w:sz="4" w:space="0"/>
            </w:tcBorders>
            <w:vAlign w:val="center"/>
          </w:tcPr>
          <w:p>
            <w:pPr>
              <w:jc w:val="right"/>
              <w:rPr>
                <w:rFonts w:ascii="仿宋_GB2312" w:hAnsi="宋体" w:eastAsia="仿宋_GB2312" w:cs="宋体"/>
                <w:kern w:val="0"/>
                <w:sz w:val="18"/>
                <w:szCs w:val="18"/>
              </w:rPr>
            </w:pPr>
          </w:p>
        </w:tc>
        <w:tc>
          <w:tcPr>
            <w:tcW w:w="2967" w:type="dxa"/>
            <w:tcBorders>
              <w:top w:val="nil"/>
              <w:left w:val="nil"/>
              <w:bottom w:val="single" w:color="auto" w:sz="4" w:space="0"/>
              <w:right w:val="single" w:color="auto" w:sz="4" w:space="0"/>
            </w:tcBorders>
            <w:vAlign w:val="center"/>
          </w:tcPr>
          <w:p>
            <w:pPr>
              <w:jc w:val="left"/>
              <w:rPr>
                <w:rFonts w:ascii="仿宋_GB2312" w:hAnsi="宋体" w:eastAsia="仿宋_GB2312" w:cs="宋体"/>
                <w:kern w:val="0"/>
                <w:sz w:val="18"/>
                <w:szCs w:val="18"/>
              </w:rPr>
            </w:pPr>
          </w:p>
        </w:tc>
        <w:tc>
          <w:tcPr>
            <w:tcW w:w="1753" w:type="dxa"/>
            <w:tcBorders>
              <w:top w:val="nil"/>
              <w:left w:val="nil"/>
              <w:bottom w:val="single" w:color="auto" w:sz="4" w:space="0"/>
              <w:right w:val="single" w:color="auto" w:sz="4" w:space="0"/>
            </w:tcBorders>
            <w:vAlign w:val="bottom"/>
          </w:tcPr>
          <w:p>
            <w:pPr>
              <w:rPr>
                <w:rFonts w:ascii="仿宋_GB2312" w:hAnsi="宋体" w:eastAsia="仿宋_GB2312" w:cs="宋体"/>
                <w:kern w:val="0"/>
                <w:sz w:val="18"/>
                <w:szCs w:val="18"/>
              </w:rPr>
            </w:pPr>
          </w:p>
        </w:tc>
      </w:tr>
    </w:tbl>
    <w:p>
      <w:pPr>
        <w:rPr>
          <w:rFonts w:ascii="黑体" w:eastAsia="黑体"/>
          <w:b/>
          <w:sz w:val="30"/>
          <w:szCs w:val="30"/>
        </w:rPr>
      </w:pPr>
    </w:p>
    <w:p>
      <w:pPr>
        <w:rPr>
          <w:rFonts w:ascii="黑体" w:eastAsia="黑体"/>
          <w:b/>
          <w:sz w:val="30"/>
          <w:szCs w:val="30"/>
        </w:rPr>
        <w:sectPr>
          <w:footerReference r:id="rId3" w:type="default"/>
          <w:footerReference r:id="rId4" w:type="even"/>
          <w:pgSz w:w="11906" w:h="16838"/>
          <w:pgMar w:top="2041" w:right="1701" w:bottom="2041" w:left="1701" w:header="851" w:footer="992" w:gutter="0"/>
          <w:pgNumType w:start="0"/>
          <w:cols w:space="720" w:num="1"/>
          <w:titlePg/>
          <w:docGrid w:type="lines" w:linePitch="312" w:charSpace="0"/>
        </w:sectPr>
      </w:pPr>
    </w:p>
    <w:tbl>
      <w:tblPr>
        <w:tblStyle w:val="9"/>
        <w:tblW w:w="14570" w:type="dxa"/>
        <w:tblInd w:w="0" w:type="dxa"/>
        <w:tblLayout w:type="fixed"/>
        <w:tblCellMar>
          <w:top w:w="0" w:type="dxa"/>
          <w:left w:w="108" w:type="dxa"/>
          <w:bottom w:w="0" w:type="dxa"/>
          <w:right w:w="108" w:type="dxa"/>
        </w:tblCellMar>
      </w:tblPr>
      <w:tblGrid>
        <w:gridCol w:w="527"/>
        <w:gridCol w:w="527"/>
        <w:gridCol w:w="545"/>
        <w:gridCol w:w="1673"/>
        <w:gridCol w:w="930"/>
        <w:gridCol w:w="930"/>
        <w:gridCol w:w="930"/>
        <w:gridCol w:w="930"/>
        <w:gridCol w:w="932"/>
        <w:gridCol w:w="740"/>
        <w:gridCol w:w="740"/>
        <w:gridCol w:w="740"/>
        <w:gridCol w:w="740"/>
        <w:gridCol w:w="740"/>
        <w:gridCol w:w="740"/>
        <w:gridCol w:w="740"/>
        <w:gridCol w:w="740"/>
        <w:gridCol w:w="726"/>
      </w:tblGrid>
      <w:tr>
        <w:tblPrEx>
          <w:tblCellMar>
            <w:top w:w="0" w:type="dxa"/>
            <w:left w:w="108" w:type="dxa"/>
            <w:bottom w:w="0" w:type="dxa"/>
            <w:right w:w="108" w:type="dxa"/>
          </w:tblCellMar>
        </w:tblPrEx>
        <w:trPr>
          <w:trHeight w:val="360" w:hRule="atLeast"/>
          <w:tblHeader/>
        </w:trPr>
        <w:tc>
          <w:tcPr>
            <w:tcW w:w="14570" w:type="dxa"/>
            <w:gridSpan w:val="18"/>
            <w:tcBorders>
              <w:bottom w:val="single" w:color="auto" w:sz="4" w:space="0"/>
            </w:tcBorders>
            <w:shd w:val="clear" w:color="000000" w:fill="FFFFFF"/>
            <w:vAlign w:val="center"/>
          </w:tcPr>
          <w:p>
            <w:pPr>
              <w:jc w:val="right"/>
              <w:rPr>
                <w:rFonts w:ascii="黑体" w:hAnsi="黑体" w:eastAsia="黑体"/>
                <w:bCs/>
                <w:szCs w:val="21"/>
              </w:rPr>
            </w:pPr>
            <w:r>
              <w:rPr>
                <w:rFonts w:hint="eastAsia" w:ascii="黑体" w:hAnsi="黑体" w:eastAsia="黑体"/>
                <w:bCs/>
                <w:szCs w:val="21"/>
              </w:rPr>
              <w:t>部门公开表2</w:t>
            </w:r>
          </w:p>
          <w:p>
            <w:pPr>
              <w:jc w:val="center"/>
              <w:rPr>
                <w:rFonts w:ascii="黑体" w:hAnsi="黑体" w:eastAsia="黑体"/>
                <w:bCs/>
                <w:sz w:val="28"/>
                <w:szCs w:val="28"/>
              </w:rPr>
            </w:pPr>
            <w:r>
              <w:rPr>
                <w:rFonts w:hint="eastAsia" w:ascii="黑体" w:hAnsi="黑体" w:eastAsia="黑体"/>
                <w:bCs/>
                <w:sz w:val="28"/>
                <w:szCs w:val="28"/>
              </w:rPr>
              <w:t>收入预算总表</w:t>
            </w:r>
          </w:p>
          <w:p>
            <w:pPr>
              <w:widowControl/>
              <w:adjustRightInd w:val="0"/>
              <w:snapToGrid w:val="0"/>
              <w:jc w:val="right"/>
              <w:rPr>
                <w:rFonts w:ascii="黑体" w:hAnsi="黑体" w:eastAsia="黑体" w:cs="Arial"/>
                <w:color w:val="000000"/>
                <w:kern w:val="0"/>
                <w:sz w:val="18"/>
                <w:szCs w:val="18"/>
              </w:rPr>
            </w:pPr>
            <w:r>
              <w:rPr>
                <w:rFonts w:hint="eastAsia" w:ascii="仿宋_GB2312" w:hAnsi="宋体" w:eastAsia="仿宋_GB2312" w:cs="宋体"/>
                <w:kern w:val="0"/>
                <w:sz w:val="20"/>
                <w:szCs w:val="20"/>
              </w:rPr>
              <w:t>单位：万元</w:t>
            </w:r>
          </w:p>
        </w:tc>
      </w:tr>
      <w:tr>
        <w:tblPrEx>
          <w:tblCellMar>
            <w:top w:w="0" w:type="dxa"/>
            <w:left w:w="108" w:type="dxa"/>
            <w:bottom w:w="0" w:type="dxa"/>
            <w:right w:w="108" w:type="dxa"/>
          </w:tblCellMar>
        </w:tblPrEx>
        <w:trPr>
          <w:trHeight w:val="360" w:hRule="atLeast"/>
          <w:tblHeader/>
        </w:trPr>
        <w:tc>
          <w:tcPr>
            <w:tcW w:w="159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科目编码</w:t>
            </w:r>
          </w:p>
        </w:tc>
        <w:tc>
          <w:tcPr>
            <w:tcW w:w="167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科目名称</w:t>
            </w:r>
          </w:p>
        </w:tc>
        <w:tc>
          <w:tcPr>
            <w:tcW w:w="9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合计</w:t>
            </w:r>
          </w:p>
        </w:tc>
        <w:tc>
          <w:tcPr>
            <w:tcW w:w="3722"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财政拨款收入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财政专户管理资金收入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事业收入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事业单位经营收入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上级补助收入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附属单位上缴收入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其他收入</w:t>
            </w: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使用非财政拨款结余</w:t>
            </w:r>
          </w:p>
        </w:tc>
        <w:tc>
          <w:tcPr>
            <w:tcW w:w="1466"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上年结转</w:t>
            </w:r>
          </w:p>
        </w:tc>
      </w:tr>
      <w:tr>
        <w:tblPrEx>
          <w:tblCellMar>
            <w:top w:w="0" w:type="dxa"/>
            <w:left w:w="108" w:type="dxa"/>
            <w:bottom w:w="0" w:type="dxa"/>
            <w:right w:w="108" w:type="dxa"/>
          </w:tblCellMar>
        </w:tblPrEx>
        <w:trPr>
          <w:trHeight w:val="405" w:hRule="atLeast"/>
          <w:tblHeader/>
        </w:trPr>
        <w:tc>
          <w:tcPr>
            <w:tcW w:w="52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类</w:t>
            </w:r>
          </w:p>
        </w:tc>
        <w:tc>
          <w:tcPr>
            <w:tcW w:w="52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款</w:t>
            </w:r>
          </w:p>
        </w:tc>
        <w:tc>
          <w:tcPr>
            <w:tcW w:w="54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项</w:t>
            </w: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9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小计</w:t>
            </w:r>
          </w:p>
        </w:tc>
        <w:tc>
          <w:tcPr>
            <w:tcW w:w="9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一般公共预算拨款收入</w:t>
            </w:r>
          </w:p>
        </w:tc>
        <w:tc>
          <w:tcPr>
            <w:tcW w:w="93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政府性基金预算拨款收入</w:t>
            </w:r>
          </w:p>
        </w:tc>
        <w:tc>
          <w:tcPr>
            <w:tcW w:w="93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国有资本经营预算拨款收入</w:t>
            </w: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center"/>
              <w:rPr>
                <w:rFonts w:ascii="黑体" w:hAnsi="黑体" w:eastAsia="黑体" w:cs="Arial"/>
                <w:color w:val="000000"/>
                <w:kern w:val="0"/>
                <w:sz w:val="18"/>
                <w:szCs w:val="18"/>
              </w:rPr>
            </w:pPr>
          </w:p>
        </w:tc>
        <w:tc>
          <w:tcPr>
            <w:tcW w:w="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上年结转</w:t>
            </w:r>
          </w:p>
        </w:tc>
        <w:tc>
          <w:tcPr>
            <w:tcW w:w="72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其中财政拨款结转</w:t>
            </w:r>
          </w:p>
        </w:tc>
      </w:tr>
      <w:tr>
        <w:tblPrEx>
          <w:tblCellMar>
            <w:top w:w="0" w:type="dxa"/>
            <w:left w:w="108" w:type="dxa"/>
            <w:bottom w:w="0" w:type="dxa"/>
            <w:right w:w="108" w:type="dxa"/>
          </w:tblCellMar>
        </w:tblPrEx>
        <w:trPr>
          <w:trHeight w:val="330" w:hRule="atLeast"/>
          <w:tblHeader/>
        </w:trPr>
        <w:tc>
          <w:tcPr>
            <w:tcW w:w="5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5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5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r>
      <w:tr>
        <w:tblPrEx>
          <w:tblCellMar>
            <w:top w:w="0" w:type="dxa"/>
            <w:left w:w="108" w:type="dxa"/>
            <w:bottom w:w="0" w:type="dxa"/>
            <w:right w:w="108" w:type="dxa"/>
          </w:tblCellMar>
        </w:tblPrEx>
        <w:trPr>
          <w:trHeight w:val="540" w:hRule="atLeast"/>
          <w:tblHeader/>
        </w:trPr>
        <w:tc>
          <w:tcPr>
            <w:tcW w:w="5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52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5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167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93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Arial"/>
                <w:color w:val="000000"/>
                <w:kern w:val="0"/>
                <w:sz w:val="18"/>
                <w:szCs w:val="18"/>
              </w:rPr>
            </w:pPr>
          </w:p>
        </w:tc>
      </w:tr>
      <w:tr>
        <w:tblPrEx>
          <w:tblCellMar>
            <w:top w:w="0" w:type="dxa"/>
            <w:left w:w="108" w:type="dxa"/>
            <w:bottom w:w="0" w:type="dxa"/>
            <w:right w:w="108" w:type="dxa"/>
          </w:tblCellMar>
        </w:tblPrEx>
        <w:trPr>
          <w:trHeight w:val="480" w:hRule="atLeast"/>
        </w:trPr>
        <w:tc>
          <w:tcPr>
            <w:tcW w:w="3272"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xml:space="preserve">合 </w:t>
            </w:r>
            <w:r>
              <w:rPr>
                <w:rFonts w:ascii="仿宋_GB2312" w:hAnsi="宋体" w:eastAsia="仿宋_GB2312" w:cs="Arial"/>
                <w:color w:val="000000"/>
                <w:kern w:val="0"/>
                <w:sz w:val="18"/>
                <w:szCs w:val="18"/>
              </w:rPr>
              <w:t xml:space="preserve">   </w:t>
            </w:r>
            <w:r>
              <w:rPr>
                <w:rFonts w:hint="eastAsia" w:ascii="仿宋_GB2312" w:hAnsi="宋体" w:eastAsia="仿宋_GB2312" w:cs="Arial"/>
                <w:color w:val="000000"/>
                <w:kern w:val="0"/>
                <w:sz w:val="18"/>
                <w:szCs w:val="18"/>
              </w:rPr>
              <w:t>计</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一般公共服务支出</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审计事务</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01</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行政运行</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206.12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206.12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206.12</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50</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事业运行</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hint="default" w:ascii="仿宋_GB2312" w:hAnsi="宋体" w:eastAsia="仿宋_GB2312" w:cs="Arial"/>
                <w:color w:val="000000"/>
                <w:kern w:val="0"/>
                <w:sz w:val="18"/>
                <w:szCs w:val="18"/>
                <w:lang w:val="en-US"/>
              </w:rPr>
            </w:pPr>
            <w:r>
              <w:rPr>
                <w:rFonts w:hint="eastAsia" w:ascii="宋体" w:hAnsi="宋体" w:cs="宋体"/>
                <w:i w:val="0"/>
                <w:color w:val="000000"/>
                <w:kern w:val="0"/>
                <w:sz w:val="20"/>
                <w:szCs w:val="20"/>
                <w:u w:val="none"/>
                <w:lang w:val="en-US" w:eastAsia="zh-CN" w:bidi="ar"/>
              </w:rPr>
              <w:t>254.30</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cs="宋体"/>
                <w:i w:val="0"/>
                <w:color w:val="000000"/>
                <w:kern w:val="0"/>
                <w:sz w:val="20"/>
                <w:szCs w:val="20"/>
                <w:u w:val="none"/>
                <w:lang w:val="en-US" w:eastAsia="zh-CN" w:bidi="ar"/>
              </w:rPr>
              <w:t>254.30</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cs="宋体"/>
                <w:i w:val="0"/>
                <w:color w:val="000000"/>
                <w:kern w:val="0"/>
                <w:sz w:val="20"/>
                <w:szCs w:val="20"/>
                <w:u w:val="none"/>
                <w:lang w:val="en-US" w:eastAsia="zh-CN" w:bidi="ar"/>
              </w:rPr>
              <w:t>254.30</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hint="eastAsia" w:ascii="仿宋_GB2312" w:hAnsi="Arial" w:eastAsia="仿宋_GB2312" w:cs="Arial"/>
                <w:kern w:val="0"/>
                <w:sz w:val="18"/>
                <w:szCs w:val="18"/>
                <w:lang w:val="en-US" w:eastAsia="zh-CN"/>
              </w:rPr>
            </w:pPr>
            <w:r>
              <w:rPr>
                <w:rFonts w:hint="eastAsia" w:ascii="仿宋_GB2312" w:hAnsi="Arial" w:eastAsia="仿宋_GB2312" w:cs="Arial"/>
                <w:kern w:val="0"/>
                <w:sz w:val="18"/>
                <w:szCs w:val="18"/>
                <w:lang w:val="en-US" w:eastAsia="zh-CN"/>
              </w:rPr>
              <w:t>=</w:t>
            </w: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04</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审计业务</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208</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社会保障和就业支出</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208</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05</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行政事业单位养老支出</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208</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05</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05</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机关事业单位基本养老保险缴费支出</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卫生健康支出</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行政事业单位医疗</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01</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行政单位医疗</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7.32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7.32</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7.32</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02</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事业单位医疗</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12.06</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12.06</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12.06</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r>
        <w:tblPrEx>
          <w:tblCellMar>
            <w:top w:w="0" w:type="dxa"/>
            <w:left w:w="108" w:type="dxa"/>
            <w:bottom w:w="0" w:type="dxa"/>
            <w:right w:w="108" w:type="dxa"/>
          </w:tblCellMar>
        </w:tblPrEx>
        <w:trPr>
          <w:trHeight w:val="480" w:hRule="atLeast"/>
        </w:trPr>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527"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54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99</w:t>
            </w:r>
          </w:p>
        </w:tc>
        <w:tc>
          <w:tcPr>
            <w:tcW w:w="1673"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其他行政事业单位医疗支出</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11.07</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11.07</w:t>
            </w:r>
          </w:p>
        </w:tc>
        <w:tc>
          <w:tcPr>
            <w:tcW w:w="93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11.07</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9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4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adjustRightInd w:val="0"/>
              <w:snapToGrid w:val="0"/>
              <w:jc w:val="center"/>
              <w:rPr>
                <w:rFonts w:ascii="仿宋_GB2312" w:hAnsi="Arial" w:eastAsia="仿宋_GB2312" w:cs="Arial"/>
                <w:kern w:val="0"/>
                <w:sz w:val="18"/>
                <w:szCs w:val="18"/>
              </w:rPr>
            </w:pPr>
          </w:p>
        </w:tc>
      </w:tr>
    </w:tbl>
    <w:p>
      <w:pPr>
        <w:widowControl/>
        <w:jc w:val="left"/>
        <w:rPr>
          <w:rFonts w:ascii="宋体" w:hAnsi="宋体"/>
          <w:b/>
          <w:szCs w:val="21"/>
        </w:rPr>
      </w:pPr>
    </w:p>
    <w:p>
      <w:pPr>
        <w:widowControl/>
        <w:jc w:val="left"/>
        <w:rPr>
          <w:rFonts w:ascii="宋体" w:hAnsi="宋体"/>
          <w:b/>
          <w:szCs w:val="21"/>
        </w:rPr>
      </w:pPr>
      <w:r>
        <w:rPr>
          <w:rFonts w:ascii="宋体" w:hAnsi="宋体"/>
          <w:b/>
          <w:szCs w:val="21"/>
        </w:rPr>
        <w:br w:type="page"/>
      </w:r>
    </w:p>
    <w:tbl>
      <w:tblPr>
        <w:tblStyle w:val="9"/>
        <w:tblW w:w="14600" w:type="dxa"/>
        <w:tblInd w:w="0" w:type="dxa"/>
        <w:tblLayout w:type="fixed"/>
        <w:tblCellMar>
          <w:top w:w="0" w:type="dxa"/>
          <w:left w:w="108" w:type="dxa"/>
          <w:bottom w:w="0" w:type="dxa"/>
          <w:right w:w="108" w:type="dxa"/>
        </w:tblCellMar>
      </w:tblPr>
      <w:tblGrid>
        <w:gridCol w:w="619"/>
        <w:gridCol w:w="618"/>
        <w:gridCol w:w="635"/>
        <w:gridCol w:w="4021"/>
        <w:gridCol w:w="1450"/>
        <w:gridCol w:w="1450"/>
        <w:gridCol w:w="1450"/>
        <w:gridCol w:w="1450"/>
        <w:gridCol w:w="1450"/>
        <w:gridCol w:w="1457"/>
      </w:tblGrid>
      <w:tr>
        <w:tblPrEx>
          <w:tblCellMar>
            <w:top w:w="0" w:type="dxa"/>
            <w:left w:w="108" w:type="dxa"/>
            <w:bottom w:w="0" w:type="dxa"/>
            <w:right w:w="108" w:type="dxa"/>
          </w:tblCellMar>
        </w:tblPrEx>
        <w:trPr>
          <w:trHeight w:val="1523" w:hRule="atLeast"/>
          <w:tblHeader/>
        </w:trPr>
        <w:tc>
          <w:tcPr>
            <w:tcW w:w="14600" w:type="dxa"/>
            <w:gridSpan w:val="10"/>
            <w:tcBorders>
              <w:bottom w:val="single" w:color="auto" w:sz="4" w:space="0"/>
            </w:tcBorders>
            <w:shd w:val="clear" w:color="000000" w:fill="FFFFFF"/>
            <w:vAlign w:val="center"/>
          </w:tcPr>
          <w:p>
            <w:pPr>
              <w:jc w:val="right"/>
              <w:rPr>
                <w:rFonts w:ascii="黑体" w:hAnsi="黑体" w:eastAsia="黑体"/>
                <w:bCs/>
                <w:szCs w:val="21"/>
              </w:rPr>
            </w:pPr>
            <w:r>
              <w:rPr>
                <w:rFonts w:hint="eastAsia" w:ascii="黑体" w:hAnsi="黑体" w:eastAsia="黑体"/>
                <w:bCs/>
                <w:szCs w:val="21"/>
              </w:rPr>
              <w:t>部门公开表3</w:t>
            </w:r>
          </w:p>
          <w:p>
            <w:pPr>
              <w:jc w:val="center"/>
              <w:rPr>
                <w:rFonts w:ascii="黑体" w:hAnsi="黑体" w:eastAsia="黑体"/>
                <w:bCs/>
                <w:sz w:val="28"/>
                <w:szCs w:val="28"/>
              </w:rPr>
            </w:pPr>
            <w:r>
              <w:rPr>
                <w:rFonts w:hint="eastAsia" w:ascii="黑体" w:hAnsi="黑体" w:eastAsia="黑体"/>
                <w:bCs/>
                <w:sz w:val="28"/>
                <w:szCs w:val="28"/>
              </w:rPr>
              <w:t>支出预算总表</w:t>
            </w:r>
          </w:p>
          <w:p>
            <w:pPr>
              <w:jc w:val="right"/>
              <w:rPr>
                <w:rFonts w:ascii="仿宋_GB2312" w:hAnsi="宋体" w:eastAsia="仿宋_GB2312" w:cs="宋体"/>
                <w:kern w:val="0"/>
                <w:szCs w:val="21"/>
              </w:rPr>
            </w:pPr>
            <w:r>
              <w:rPr>
                <w:rFonts w:hint="eastAsia" w:ascii="仿宋_GB2312" w:hAnsi="宋体" w:eastAsia="仿宋_GB2312" w:cs="宋体"/>
                <w:kern w:val="0"/>
                <w:szCs w:val="21"/>
              </w:rPr>
              <w:t>单位：万元</w:t>
            </w:r>
          </w:p>
        </w:tc>
      </w:tr>
      <w:tr>
        <w:tblPrEx>
          <w:tblCellMar>
            <w:top w:w="0" w:type="dxa"/>
            <w:left w:w="108" w:type="dxa"/>
            <w:bottom w:w="0" w:type="dxa"/>
            <w:right w:w="108" w:type="dxa"/>
          </w:tblCellMar>
        </w:tblPrEx>
        <w:trPr>
          <w:trHeight w:val="296" w:hRule="atLeast"/>
          <w:tblHeader/>
        </w:trPr>
        <w:tc>
          <w:tcPr>
            <w:tcW w:w="1872"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科目编码</w:t>
            </w:r>
          </w:p>
        </w:tc>
        <w:tc>
          <w:tcPr>
            <w:tcW w:w="402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科目名称</w:t>
            </w:r>
          </w:p>
        </w:tc>
        <w:tc>
          <w:tcPr>
            <w:tcW w:w="14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合计</w:t>
            </w:r>
          </w:p>
        </w:tc>
        <w:tc>
          <w:tcPr>
            <w:tcW w:w="14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基本支出</w:t>
            </w:r>
          </w:p>
        </w:tc>
        <w:tc>
          <w:tcPr>
            <w:tcW w:w="14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项目支出</w:t>
            </w:r>
          </w:p>
        </w:tc>
        <w:tc>
          <w:tcPr>
            <w:tcW w:w="14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上缴上级</w:t>
            </w:r>
            <w:r>
              <w:rPr>
                <w:rFonts w:ascii="黑体" w:hAnsi="黑体" w:eastAsia="黑体" w:cs="Arial"/>
                <w:color w:val="000000"/>
                <w:kern w:val="0"/>
                <w:sz w:val="18"/>
                <w:szCs w:val="18"/>
              </w:rPr>
              <w:br w:type="textWrapping"/>
            </w:r>
            <w:r>
              <w:rPr>
                <w:rFonts w:hint="eastAsia" w:ascii="黑体" w:hAnsi="黑体" w:eastAsia="黑体" w:cs="Arial"/>
                <w:color w:val="000000"/>
                <w:kern w:val="0"/>
                <w:sz w:val="18"/>
                <w:szCs w:val="18"/>
              </w:rPr>
              <w:t>支出</w:t>
            </w:r>
          </w:p>
        </w:tc>
        <w:tc>
          <w:tcPr>
            <w:tcW w:w="14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对附属单位补助支出</w:t>
            </w:r>
          </w:p>
        </w:tc>
        <w:tc>
          <w:tcPr>
            <w:tcW w:w="145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事业单位</w:t>
            </w:r>
            <w:r>
              <w:rPr>
                <w:rFonts w:ascii="黑体" w:hAnsi="黑体" w:eastAsia="黑体" w:cs="Arial"/>
                <w:color w:val="000000"/>
                <w:kern w:val="0"/>
                <w:sz w:val="18"/>
                <w:szCs w:val="18"/>
              </w:rPr>
              <w:br w:type="textWrapping"/>
            </w:r>
            <w:r>
              <w:rPr>
                <w:rFonts w:hint="eastAsia" w:ascii="黑体" w:hAnsi="黑体" w:eastAsia="黑体" w:cs="Arial"/>
                <w:color w:val="000000"/>
                <w:kern w:val="0"/>
                <w:sz w:val="18"/>
                <w:szCs w:val="18"/>
              </w:rPr>
              <w:t>经营支出</w:t>
            </w:r>
          </w:p>
        </w:tc>
      </w:tr>
      <w:tr>
        <w:tblPrEx>
          <w:tblCellMar>
            <w:top w:w="0" w:type="dxa"/>
            <w:left w:w="108" w:type="dxa"/>
            <w:bottom w:w="0" w:type="dxa"/>
            <w:right w:w="108" w:type="dxa"/>
          </w:tblCellMar>
        </w:tblPrEx>
        <w:trPr>
          <w:trHeight w:val="296" w:hRule="atLeast"/>
          <w:tblHeader/>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类</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款</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项</w:t>
            </w:r>
          </w:p>
        </w:tc>
        <w:tc>
          <w:tcPr>
            <w:tcW w:w="4021"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c>
          <w:tcPr>
            <w:tcW w:w="1450"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c>
          <w:tcPr>
            <w:tcW w:w="1457" w:type="dxa"/>
            <w:vMerge w:val="continue"/>
            <w:tcBorders>
              <w:top w:val="single" w:color="auto" w:sz="4" w:space="0"/>
              <w:left w:val="single" w:color="auto" w:sz="4" w:space="0"/>
              <w:bottom w:val="single" w:color="auto" w:sz="4" w:space="0"/>
              <w:right w:val="single" w:color="auto" w:sz="4" w:space="0"/>
            </w:tcBorders>
            <w:vAlign w:val="center"/>
          </w:tcPr>
          <w:p>
            <w:pPr>
              <w:widowControl/>
              <w:adjustRightInd w:val="0"/>
              <w:snapToGrid w:val="0"/>
              <w:jc w:val="left"/>
              <w:rPr>
                <w:rFonts w:ascii="宋体" w:hAnsi="宋体" w:cs="Arial"/>
                <w:color w:val="000000"/>
                <w:kern w:val="0"/>
                <w:sz w:val="18"/>
                <w:szCs w:val="18"/>
              </w:rPr>
            </w:pPr>
          </w:p>
        </w:tc>
      </w:tr>
      <w:tr>
        <w:tblPrEx>
          <w:tblCellMar>
            <w:top w:w="0" w:type="dxa"/>
            <w:left w:w="108" w:type="dxa"/>
            <w:bottom w:w="0" w:type="dxa"/>
            <w:right w:w="108" w:type="dxa"/>
          </w:tblCellMar>
        </w:tblPrEx>
        <w:trPr>
          <w:trHeight w:val="393" w:hRule="atLeast"/>
        </w:trPr>
        <w:tc>
          <w:tcPr>
            <w:tcW w:w="5893"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xml:space="preserve">合 </w:t>
            </w:r>
            <w:r>
              <w:rPr>
                <w:rFonts w:ascii="仿宋_GB2312" w:hAnsi="宋体" w:eastAsia="仿宋_GB2312" w:cs="Arial"/>
                <w:color w:val="000000"/>
                <w:kern w:val="0"/>
                <w:sz w:val="18"/>
                <w:szCs w:val="18"/>
              </w:rPr>
              <w:t xml:space="preserve">   </w:t>
            </w:r>
            <w:r>
              <w:rPr>
                <w:rFonts w:hint="eastAsia" w:ascii="仿宋_GB2312" w:hAnsi="宋体" w:eastAsia="仿宋_GB2312" w:cs="Arial"/>
                <w:color w:val="000000"/>
                <w:kern w:val="0"/>
                <w:sz w:val="18"/>
                <w:szCs w:val="18"/>
              </w:rPr>
              <w:t>计</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535.16</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一般公共服务支出</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460.42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审计事务</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460.42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01</w:t>
            </w: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行政运行</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206.12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206.12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50</w:t>
            </w: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事业运行</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cs="宋体"/>
                <w:i w:val="0"/>
                <w:color w:val="000000"/>
                <w:kern w:val="0"/>
                <w:sz w:val="20"/>
                <w:szCs w:val="20"/>
                <w:u w:val="none"/>
                <w:lang w:val="en-US" w:eastAsia="zh-CN" w:bidi="ar"/>
              </w:rPr>
              <w:t>254.30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cs="宋体"/>
                <w:i w:val="0"/>
                <w:color w:val="000000"/>
                <w:kern w:val="0"/>
                <w:sz w:val="20"/>
                <w:szCs w:val="20"/>
                <w:u w:val="none"/>
                <w:lang w:val="en-US" w:eastAsia="zh-CN" w:bidi="ar"/>
              </w:rPr>
              <w:t>254.30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201</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08</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04</w:t>
            </w: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审计业务</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80.00</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208</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社会保障和就业支出</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208</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05</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行政事业单位养老支出</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208</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05</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05</w:t>
            </w: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机关事业单位基本养老保险缴费支出</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卫生健康支出</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jc w:val="left"/>
              <w:rPr>
                <w:rFonts w:ascii="仿宋_GB2312" w:hAnsi="宋体" w:eastAsia="仿宋_GB2312" w:cs="Arial"/>
                <w:color w:val="000000"/>
                <w:kern w:val="0"/>
                <w:sz w:val="18"/>
                <w:szCs w:val="18"/>
              </w:rPr>
            </w:pP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行政事业单位医疗</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93"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01</w:t>
            </w: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行政单位医疗</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7.32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7.32</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405" w:hRule="atLeast"/>
        </w:trPr>
        <w:tc>
          <w:tcPr>
            <w:tcW w:w="619"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210</w:t>
            </w:r>
          </w:p>
        </w:tc>
        <w:tc>
          <w:tcPr>
            <w:tcW w:w="618"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11</w:t>
            </w:r>
          </w:p>
        </w:tc>
        <w:tc>
          <w:tcPr>
            <w:tcW w:w="635"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02</w:t>
            </w:r>
          </w:p>
        </w:tc>
        <w:tc>
          <w:tcPr>
            <w:tcW w:w="402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lef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 xml:space="preserve">    事业单位医疗</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12.06</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right"/>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12.06</w:t>
            </w: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jc w:val="right"/>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c>
          <w:tcPr>
            <w:tcW w:w="1457"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adjustRightInd w:val="0"/>
              <w:snapToGrid w:val="0"/>
              <w:jc w:val="center"/>
              <w:rPr>
                <w:rFonts w:ascii="仿宋_GB2312" w:hAnsi="宋体" w:eastAsia="仿宋_GB2312" w:cs="Arial"/>
                <w:color w:val="000000"/>
                <w:kern w:val="0"/>
                <w:sz w:val="18"/>
                <w:szCs w:val="18"/>
              </w:rPr>
            </w:pPr>
          </w:p>
        </w:tc>
      </w:tr>
    </w:tbl>
    <w:p>
      <w:pPr>
        <w:widowControl/>
        <w:jc w:val="left"/>
        <w:rPr>
          <w:rFonts w:ascii="宋体" w:hAnsi="宋体"/>
          <w:b/>
          <w:szCs w:val="21"/>
        </w:rPr>
      </w:pPr>
    </w:p>
    <w:tbl>
      <w:tblPr>
        <w:tblStyle w:val="9"/>
        <w:tblW w:w="14666" w:type="dxa"/>
        <w:tblInd w:w="-34" w:type="dxa"/>
        <w:tblLayout w:type="fixed"/>
        <w:tblCellMar>
          <w:top w:w="0" w:type="dxa"/>
          <w:left w:w="108" w:type="dxa"/>
          <w:bottom w:w="0" w:type="dxa"/>
          <w:right w:w="108" w:type="dxa"/>
        </w:tblCellMar>
      </w:tblPr>
      <w:tblGrid>
        <w:gridCol w:w="2916"/>
        <w:gridCol w:w="1831"/>
        <w:gridCol w:w="3269"/>
        <w:gridCol w:w="1646"/>
        <w:gridCol w:w="1646"/>
        <w:gridCol w:w="1646"/>
        <w:gridCol w:w="1712"/>
      </w:tblGrid>
      <w:tr>
        <w:tblPrEx>
          <w:tblCellMar>
            <w:top w:w="0" w:type="dxa"/>
            <w:left w:w="108" w:type="dxa"/>
            <w:bottom w:w="0" w:type="dxa"/>
            <w:right w:w="108" w:type="dxa"/>
          </w:tblCellMar>
        </w:tblPrEx>
        <w:trPr>
          <w:trHeight w:val="340" w:hRule="atLeast"/>
          <w:tblHeader/>
        </w:trPr>
        <w:tc>
          <w:tcPr>
            <w:tcW w:w="14666" w:type="dxa"/>
            <w:gridSpan w:val="7"/>
            <w:tcBorders>
              <w:bottom w:val="single" w:color="auto" w:sz="4" w:space="0"/>
            </w:tcBorders>
            <w:shd w:val="clear" w:color="000000" w:fill="FFFFFF"/>
            <w:vAlign w:val="center"/>
          </w:tcPr>
          <w:p>
            <w:pPr>
              <w:jc w:val="right"/>
              <w:rPr>
                <w:rFonts w:ascii="黑体" w:hAnsi="黑体" w:eastAsia="黑体"/>
                <w:bCs/>
                <w:szCs w:val="21"/>
              </w:rPr>
            </w:pPr>
            <w:r>
              <w:rPr>
                <w:rFonts w:hint="eastAsia" w:ascii="黑体" w:hAnsi="黑体" w:eastAsia="黑体"/>
                <w:bCs/>
                <w:szCs w:val="21"/>
              </w:rPr>
              <w:t>部门公开表4</w:t>
            </w:r>
          </w:p>
          <w:p>
            <w:pPr>
              <w:jc w:val="center"/>
              <w:rPr>
                <w:rFonts w:ascii="黑体" w:hAnsi="黑体" w:eastAsia="黑体"/>
                <w:bCs/>
                <w:sz w:val="28"/>
                <w:szCs w:val="28"/>
              </w:rPr>
            </w:pPr>
            <w:r>
              <w:rPr>
                <w:rFonts w:hint="eastAsia" w:ascii="黑体" w:hAnsi="黑体" w:eastAsia="黑体"/>
                <w:bCs/>
                <w:sz w:val="28"/>
                <w:szCs w:val="28"/>
              </w:rPr>
              <w:t>财政拨款收支预算表</w:t>
            </w:r>
          </w:p>
          <w:p>
            <w:pPr>
              <w:widowControl/>
              <w:jc w:val="right"/>
              <w:rPr>
                <w:rFonts w:ascii="黑体" w:hAnsi="黑体" w:eastAsia="黑体" w:cs="Arial"/>
                <w:color w:val="000000"/>
                <w:kern w:val="0"/>
                <w:sz w:val="18"/>
                <w:szCs w:val="18"/>
              </w:rPr>
            </w:pPr>
            <w:r>
              <w:rPr>
                <w:rFonts w:hint="eastAsia" w:ascii="仿宋_GB2312" w:hAnsi="宋体" w:eastAsia="仿宋_GB2312" w:cs="宋体"/>
                <w:kern w:val="0"/>
                <w:szCs w:val="21"/>
              </w:rPr>
              <w:t>单位：万元</w:t>
            </w:r>
          </w:p>
        </w:tc>
      </w:tr>
      <w:tr>
        <w:tblPrEx>
          <w:tblCellMar>
            <w:top w:w="0" w:type="dxa"/>
            <w:left w:w="108" w:type="dxa"/>
            <w:bottom w:w="0" w:type="dxa"/>
            <w:right w:w="108" w:type="dxa"/>
          </w:tblCellMar>
        </w:tblPrEx>
        <w:trPr>
          <w:trHeight w:val="340" w:hRule="atLeast"/>
          <w:tblHeader/>
        </w:trPr>
        <w:tc>
          <w:tcPr>
            <w:tcW w:w="4747"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收    入</w:t>
            </w:r>
          </w:p>
        </w:tc>
        <w:tc>
          <w:tcPr>
            <w:tcW w:w="9919" w:type="dxa"/>
            <w:gridSpan w:val="5"/>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支    出</w:t>
            </w:r>
          </w:p>
        </w:tc>
      </w:tr>
      <w:tr>
        <w:tblPrEx>
          <w:tblCellMar>
            <w:top w:w="0" w:type="dxa"/>
            <w:left w:w="108" w:type="dxa"/>
            <w:bottom w:w="0" w:type="dxa"/>
            <w:right w:w="108" w:type="dxa"/>
          </w:tblCellMar>
        </w:tblPrEx>
        <w:trPr>
          <w:trHeight w:val="340" w:hRule="atLeast"/>
          <w:tblHeader/>
        </w:trPr>
        <w:tc>
          <w:tcPr>
            <w:tcW w:w="291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项目</w:t>
            </w:r>
          </w:p>
        </w:tc>
        <w:tc>
          <w:tcPr>
            <w:tcW w:w="183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预算数</w:t>
            </w:r>
          </w:p>
        </w:tc>
        <w:tc>
          <w:tcPr>
            <w:tcW w:w="326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项 目</w:t>
            </w:r>
          </w:p>
        </w:tc>
        <w:tc>
          <w:tcPr>
            <w:tcW w:w="6650" w:type="dxa"/>
            <w:gridSpan w:val="4"/>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预算数</w:t>
            </w:r>
          </w:p>
        </w:tc>
      </w:tr>
      <w:tr>
        <w:tblPrEx>
          <w:tblCellMar>
            <w:top w:w="0" w:type="dxa"/>
            <w:left w:w="108" w:type="dxa"/>
            <w:bottom w:w="0" w:type="dxa"/>
            <w:right w:w="108" w:type="dxa"/>
          </w:tblCellMar>
        </w:tblPrEx>
        <w:trPr>
          <w:trHeight w:val="340" w:hRule="atLeast"/>
          <w:tblHeader/>
        </w:trPr>
        <w:tc>
          <w:tcPr>
            <w:tcW w:w="291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Arial"/>
                <w:color w:val="000000"/>
                <w:kern w:val="0"/>
                <w:sz w:val="18"/>
                <w:szCs w:val="18"/>
              </w:rPr>
            </w:pPr>
          </w:p>
        </w:tc>
        <w:tc>
          <w:tcPr>
            <w:tcW w:w="18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Arial"/>
                <w:color w:val="000000"/>
                <w:kern w:val="0"/>
                <w:sz w:val="18"/>
                <w:szCs w:val="18"/>
              </w:rPr>
            </w:pPr>
          </w:p>
        </w:tc>
        <w:tc>
          <w:tcPr>
            <w:tcW w:w="326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总计</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一般公共预算</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政府性基金预算</w:t>
            </w: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国有资本经营预算</w:t>
            </w: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一、一般公共预算拨款收入</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一、一般公共服务支出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540.42</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二、政府性基金预算拨款收入</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二、外交支出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三、国有资本经营预算拨款收入</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三、国防支出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四、公共安全支出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五、教育支出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六、科学技术支出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七、文化旅游体育与传媒支出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八、社会保障和就业支出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44.29</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九、卫生健康支出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30.45</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十、节能环保支出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十一、城乡社区支出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十二、农林水支出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十三、交通运输支出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bottom"/>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十四、资源勘探工业信息等支出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十五、商业服务业等支出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十六、金融支出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十七、援助其他地区支出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十八、自然资源海洋气象等支出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十九、住房保障支出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二十、粮油物资储备支出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二十一、国有资本经营预算支出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二十二、灾害防治及应急管理支出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二十三、其他支出</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bottom"/>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本  年  收  入  合  计</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本  年  支  出  合  计</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上年结转</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结转下年</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其中：一般公共预算拨款结转</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xml:space="preserve">      政府性基金预算拨款结转</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xml:space="preserve">      国有资本经营预算拨款结转</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left"/>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　</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jc w:val="center"/>
              <w:rPr>
                <w:rFonts w:ascii="仿宋_GB2312" w:hAnsi="宋体" w:eastAsia="仿宋_GB2312" w:cs="Arial"/>
                <w:color w:val="000000"/>
                <w:kern w:val="0"/>
                <w:sz w:val="18"/>
                <w:szCs w:val="18"/>
              </w:rPr>
            </w:pP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r>
        <w:tblPrEx>
          <w:tblCellMar>
            <w:top w:w="0" w:type="dxa"/>
            <w:left w:w="108" w:type="dxa"/>
            <w:bottom w:w="0" w:type="dxa"/>
            <w:right w:w="108" w:type="dxa"/>
          </w:tblCellMar>
        </w:tblPrEx>
        <w:trPr>
          <w:trHeight w:val="340" w:hRule="atLeast"/>
        </w:trPr>
        <w:tc>
          <w:tcPr>
            <w:tcW w:w="291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收  入  总  计</w:t>
            </w:r>
          </w:p>
        </w:tc>
        <w:tc>
          <w:tcPr>
            <w:tcW w:w="1831"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3269"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r>
              <w:rPr>
                <w:rFonts w:hint="eastAsia" w:ascii="仿宋_GB2312" w:hAnsi="宋体" w:eastAsia="仿宋_GB2312" w:cs="Arial"/>
                <w:color w:val="000000"/>
                <w:kern w:val="0"/>
                <w:sz w:val="18"/>
                <w:szCs w:val="18"/>
              </w:rPr>
              <w:t>支  出  总  计</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keepNext w:val="0"/>
              <w:keepLines w:val="0"/>
              <w:widowControl/>
              <w:suppressLineNumbers w:val="0"/>
              <w:jc w:val="center"/>
              <w:textAlignment w:val="center"/>
              <w:rPr>
                <w:rFonts w:ascii="仿宋_GB2312" w:hAnsi="宋体" w:eastAsia="仿宋_GB2312" w:cs="Arial"/>
                <w:color w:val="000000"/>
                <w:kern w:val="0"/>
                <w:sz w:val="18"/>
                <w:szCs w:val="18"/>
              </w:rPr>
            </w:pPr>
            <w:r>
              <w:rPr>
                <w:rFonts w:hint="eastAsia" w:ascii="宋体" w:hAnsi="宋体" w:eastAsia="宋体" w:cs="宋体"/>
                <w:i w:val="0"/>
                <w:color w:val="000000"/>
                <w:kern w:val="0"/>
                <w:sz w:val="20"/>
                <w:szCs w:val="20"/>
                <w:u w:val="none"/>
                <w:lang w:val="en-US" w:eastAsia="zh-CN" w:bidi="ar"/>
              </w:rPr>
              <w:t>615.16</w:t>
            </w:r>
          </w:p>
        </w:tc>
        <w:tc>
          <w:tcPr>
            <w:tcW w:w="1646"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c>
          <w:tcPr>
            <w:tcW w:w="1712"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_GB2312" w:hAnsi="宋体" w:eastAsia="仿宋_GB2312" w:cs="Arial"/>
                <w:color w:val="000000"/>
                <w:kern w:val="0"/>
                <w:sz w:val="18"/>
                <w:szCs w:val="18"/>
              </w:rPr>
            </w:pPr>
          </w:p>
        </w:tc>
      </w:tr>
    </w:tbl>
    <w:p>
      <w:pPr>
        <w:jc w:val="center"/>
        <w:rPr>
          <w:rFonts w:ascii="仿宋_GB2312" w:eastAsia="仿宋_GB2312"/>
          <w:b/>
          <w:sz w:val="30"/>
          <w:szCs w:val="30"/>
        </w:rPr>
      </w:pPr>
      <w:r>
        <w:rPr>
          <w:rFonts w:ascii="仿宋_GB2312" w:eastAsia="仿宋_GB2312"/>
          <w:b/>
          <w:sz w:val="30"/>
          <w:szCs w:val="30"/>
        </w:rPr>
        <w:br w:type="page"/>
      </w:r>
    </w:p>
    <w:tbl>
      <w:tblPr>
        <w:tblStyle w:val="9"/>
        <w:tblW w:w="14540" w:type="dxa"/>
        <w:tblInd w:w="0" w:type="dxa"/>
        <w:tblLayout w:type="fixed"/>
        <w:tblCellMar>
          <w:top w:w="0" w:type="dxa"/>
          <w:left w:w="0" w:type="dxa"/>
          <w:bottom w:w="0" w:type="dxa"/>
          <w:right w:w="0" w:type="dxa"/>
        </w:tblCellMar>
      </w:tblPr>
      <w:tblGrid>
        <w:gridCol w:w="951"/>
        <w:gridCol w:w="951"/>
        <w:gridCol w:w="744"/>
        <w:gridCol w:w="3257"/>
        <w:gridCol w:w="1663"/>
        <w:gridCol w:w="1785"/>
        <w:gridCol w:w="1785"/>
        <w:gridCol w:w="1785"/>
        <w:gridCol w:w="1619"/>
      </w:tblGrid>
      <w:tr>
        <w:tblPrEx>
          <w:tblCellMar>
            <w:top w:w="0" w:type="dxa"/>
            <w:left w:w="0" w:type="dxa"/>
            <w:bottom w:w="0" w:type="dxa"/>
            <w:right w:w="0" w:type="dxa"/>
          </w:tblCellMar>
        </w:tblPrEx>
        <w:trPr>
          <w:trHeight w:val="566" w:hRule="atLeast"/>
          <w:tblHeader/>
        </w:trPr>
        <w:tc>
          <w:tcPr>
            <w:tcW w:w="14540" w:type="dxa"/>
            <w:gridSpan w:val="9"/>
            <w:tcBorders>
              <w:top w:val="nil"/>
              <w:left w:val="nil"/>
              <w:bottom w:val="nil"/>
              <w:right w:val="nil"/>
            </w:tcBorders>
            <w:shd w:val="clear" w:color="auto" w:fill="FFFFFF"/>
            <w:tcMar>
              <w:top w:w="15" w:type="dxa"/>
              <w:left w:w="15" w:type="dxa"/>
              <w:right w:w="15" w:type="dxa"/>
            </w:tcMar>
            <w:vAlign w:val="center"/>
          </w:tcPr>
          <w:p>
            <w:pPr>
              <w:jc w:val="right"/>
              <w:rPr>
                <w:rFonts w:ascii="黑体" w:hAnsi="黑体" w:eastAsia="黑体"/>
                <w:bCs/>
                <w:szCs w:val="21"/>
              </w:rPr>
            </w:pPr>
            <w:bookmarkStart w:id="2" w:name="_Hlk94088461"/>
            <w:r>
              <w:rPr>
                <w:rFonts w:hint="eastAsia" w:ascii="黑体" w:hAnsi="黑体" w:eastAsia="黑体"/>
                <w:bCs/>
                <w:szCs w:val="21"/>
              </w:rPr>
              <w:t>部门公开表5</w:t>
            </w:r>
          </w:p>
          <w:p>
            <w:pPr>
              <w:jc w:val="center"/>
              <w:rPr>
                <w:rFonts w:ascii="黑体" w:hAnsi="黑体" w:eastAsia="黑体"/>
                <w:bCs/>
                <w:sz w:val="28"/>
                <w:szCs w:val="28"/>
              </w:rPr>
            </w:pPr>
            <w:r>
              <w:rPr>
                <w:rFonts w:hint="eastAsia" w:ascii="黑体" w:hAnsi="黑体" w:eastAsia="黑体"/>
                <w:bCs/>
                <w:sz w:val="28"/>
                <w:szCs w:val="28"/>
              </w:rPr>
              <w:t>一般公共预算支出表</w:t>
            </w:r>
          </w:p>
          <w:p>
            <w:pPr>
              <w:widowControl/>
              <w:jc w:val="right"/>
              <w:textAlignment w:val="center"/>
              <w:rPr>
                <w:rFonts w:ascii="宋体" w:hAnsi="宋体" w:cs="宋体"/>
                <w:color w:val="000000"/>
                <w:sz w:val="20"/>
                <w:szCs w:val="20"/>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273" w:hRule="atLeast"/>
          <w:tblHeader/>
        </w:trPr>
        <w:tc>
          <w:tcPr>
            <w:tcW w:w="2646"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科目编码</w:t>
            </w:r>
          </w:p>
        </w:tc>
        <w:tc>
          <w:tcPr>
            <w:tcW w:w="325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科目名称</w:t>
            </w:r>
          </w:p>
        </w:tc>
        <w:tc>
          <w:tcPr>
            <w:tcW w:w="166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合计</w:t>
            </w:r>
          </w:p>
        </w:tc>
        <w:tc>
          <w:tcPr>
            <w:tcW w:w="535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基本支出</w:t>
            </w:r>
          </w:p>
        </w:tc>
        <w:tc>
          <w:tcPr>
            <w:tcW w:w="161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项目支出</w:t>
            </w:r>
          </w:p>
        </w:tc>
      </w:tr>
      <w:tr>
        <w:tblPrEx>
          <w:tblCellMar>
            <w:top w:w="0" w:type="dxa"/>
            <w:left w:w="0" w:type="dxa"/>
            <w:bottom w:w="0" w:type="dxa"/>
            <w:right w:w="0" w:type="dxa"/>
          </w:tblCellMar>
        </w:tblPrEx>
        <w:trPr>
          <w:trHeight w:val="312" w:hRule="atLeast"/>
          <w:tblHeader/>
        </w:trPr>
        <w:tc>
          <w:tcPr>
            <w:tcW w:w="95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类</w:t>
            </w:r>
          </w:p>
        </w:tc>
        <w:tc>
          <w:tcPr>
            <w:tcW w:w="95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款</w:t>
            </w:r>
          </w:p>
        </w:tc>
        <w:tc>
          <w:tcPr>
            <w:tcW w:w="74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项</w:t>
            </w:r>
          </w:p>
        </w:tc>
        <w:tc>
          <w:tcPr>
            <w:tcW w:w="32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小计</w:t>
            </w: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人员支出</w:t>
            </w:r>
          </w:p>
        </w:tc>
        <w:tc>
          <w:tcPr>
            <w:tcW w:w="1785"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日常公用支出</w:t>
            </w:r>
          </w:p>
        </w:tc>
        <w:tc>
          <w:tcPr>
            <w:tcW w:w="161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r>
      <w:tr>
        <w:tblPrEx>
          <w:tblCellMar>
            <w:top w:w="0" w:type="dxa"/>
            <w:left w:w="0" w:type="dxa"/>
            <w:bottom w:w="0" w:type="dxa"/>
            <w:right w:w="0" w:type="dxa"/>
          </w:tblCellMar>
        </w:tblPrEx>
        <w:trPr>
          <w:trHeight w:val="312" w:hRule="atLeast"/>
          <w:tblHeader/>
        </w:trPr>
        <w:tc>
          <w:tcPr>
            <w:tcW w:w="95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95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74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325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6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1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r>
      <w:tr>
        <w:tblPrEx>
          <w:tblCellMar>
            <w:top w:w="0" w:type="dxa"/>
            <w:left w:w="0" w:type="dxa"/>
            <w:bottom w:w="0" w:type="dxa"/>
            <w:right w:w="0" w:type="dxa"/>
          </w:tblCellMar>
        </w:tblPrEx>
        <w:trPr>
          <w:trHeight w:val="357" w:hRule="atLeast"/>
        </w:trPr>
        <w:tc>
          <w:tcPr>
            <w:tcW w:w="5903"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合    计</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615.16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535.16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512.15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23.01</w:t>
            </w: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80.00</w:t>
            </w: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201</w:t>
            </w:r>
          </w:p>
        </w:tc>
        <w:tc>
          <w:tcPr>
            <w:tcW w:w="95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74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325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一般公共服务支出</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540.42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460.42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437.41</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23.01</w:t>
            </w: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201</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08</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审计事务</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540.42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460.42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437.41</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23.01</w:t>
            </w: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201</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08</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01</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行政运行</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206.12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206.12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190.47</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15.65</w:t>
            </w: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90"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201</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08</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50</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事业运行</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default" w:ascii="仿宋_GB2312" w:hAnsi="宋体" w:eastAsia="仿宋_GB2312" w:cs="宋体"/>
                <w:color w:val="000000"/>
                <w:sz w:val="18"/>
                <w:szCs w:val="18"/>
                <w:lang w:val="en-US"/>
              </w:rPr>
            </w:pPr>
            <w:r>
              <w:rPr>
                <w:rFonts w:hint="eastAsia" w:ascii="宋体" w:hAnsi="宋体" w:cs="宋体"/>
                <w:i w:val="0"/>
                <w:color w:val="000000"/>
                <w:kern w:val="0"/>
                <w:sz w:val="20"/>
                <w:szCs w:val="20"/>
                <w:u w:val="none"/>
                <w:lang w:val="en-US" w:eastAsia="zh-CN" w:bidi="ar"/>
              </w:rPr>
              <w:t>254.30</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default" w:ascii="仿宋_GB2312" w:hAnsi="宋体" w:eastAsia="仿宋_GB2312" w:cs="宋体"/>
                <w:color w:val="000000"/>
                <w:sz w:val="18"/>
                <w:szCs w:val="18"/>
                <w:lang w:val="en-US"/>
              </w:rPr>
            </w:pPr>
            <w:r>
              <w:rPr>
                <w:rFonts w:hint="eastAsia" w:ascii="宋体" w:hAnsi="宋体" w:cs="宋体"/>
                <w:i w:val="0"/>
                <w:color w:val="000000"/>
                <w:kern w:val="0"/>
                <w:sz w:val="20"/>
                <w:szCs w:val="20"/>
                <w:u w:val="none"/>
                <w:lang w:val="en-US" w:eastAsia="zh-CN" w:bidi="ar"/>
              </w:rPr>
              <w:t>254.3</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hint="default" w:ascii="仿宋_GB2312" w:hAnsi="宋体" w:eastAsia="仿宋_GB2312" w:cs="宋体"/>
                <w:color w:val="000000"/>
                <w:sz w:val="18"/>
                <w:szCs w:val="18"/>
                <w:lang w:val="en-US"/>
              </w:rPr>
            </w:pPr>
            <w:r>
              <w:rPr>
                <w:rFonts w:hint="eastAsia" w:ascii="宋体" w:hAnsi="宋体" w:cs="宋体"/>
                <w:i w:val="0"/>
                <w:color w:val="000000"/>
                <w:kern w:val="0"/>
                <w:sz w:val="20"/>
                <w:szCs w:val="20"/>
                <w:u w:val="none"/>
                <w:lang w:val="en-US" w:eastAsia="zh-CN" w:bidi="ar"/>
              </w:rPr>
              <w:t>246.94</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7.36</w:t>
            </w: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201</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08</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04</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审计业务</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80.00</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80.00</w:t>
            </w: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208</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社会保障和就业支出</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208</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05</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行政事业单位养老支出</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91"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208</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05</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05</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机关事业单位基本养老保险缴费支出</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44.29</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210</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卫生健康支出</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30.45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30.45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30.45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210</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11</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行政事业单位医疗</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30.45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30.45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30.45</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210</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11</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01</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行政单位医疗</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7.32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7.32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7.32</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35"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210</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11</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02</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事业单位医疗</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12.06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12.06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12.06</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240" w:hRule="atLeast"/>
        </w:trPr>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210</w:t>
            </w:r>
          </w:p>
        </w:tc>
        <w:tc>
          <w:tcPr>
            <w:tcW w:w="9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11</w:t>
            </w:r>
          </w:p>
        </w:tc>
        <w:tc>
          <w:tcPr>
            <w:tcW w:w="7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99</w:t>
            </w:r>
          </w:p>
        </w:tc>
        <w:tc>
          <w:tcPr>
            <w:tcW w:w="325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ascii="仿宋_GB2312" w:hAnsi="Arial" w:eastAsia="仿宋_GB2312" w:cs="Arial"/>
                <w:color w:val="000000"/>
                <w:sz w:val="18"/>
                <w:szCs w:val="18"/>
              </w:rPr>
            </w:pPr>
            <w:r>
              <w:rPr>
                <w:rFonts w:hint="eastAsia" w:ascii="宋体" w:hAnsi="宋体" w:eastAsia="宋体" w:cs="宋体"/>
                <w:i w:val="0"/>
                <w:color w:val="000000"/>
                <w:kern w:val="0"/>
                <w:sz w:val="20"/>
                <w:szCs w:val="20"/>
                <w:u w:val="none"/>
                <w:lang w:val="en-US" w:eastAsia="zh-CN" w:bidi="ar"/>
              </w:rPr>
              <w:t xml:space="preserve">    其他行政事业单位医疗支出</w:t>
            </w:r>
          </w:p>
        </w:tc>
        <w:tc>
          <w:tcPr>
            <w:tcW w:w="1663"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11.07</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11.07</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right"/>
              <w:textAlignment w:val="center"/>
              <w:rPr>
                <w:rFonts w:ascii="仿宋_GB2312" w:hAnsi="宋体" w:eastAsia="仿宋_GB2312" w:cs="宋体"/>
                <w:color w:val="000000"/>
                <w:sz w:val="18"/>
                <w:szCs w:val="18"/>
              </w:rPr>
            </w:pPr>
            <w:r>
              <w:rPr>
                <w:rFonts w:hint="eastAsia" w:ascii="宋体" w:hAnsi="宋体" w:eastAsia="宋体" w:cs="宋体"/>
                <w:i w:val="0"/>
                <w:color w:val="000000"/>
                <w:kern w:val="0"/>
                <w:sz w:val="20"/>
                <w:szCs w:val="20"/>
                <w:u w:val="none"/>
                <w:lang w:val="en-US" w:eastAsia="zh-CN" w:bidi="ar"/>
              </w:rPr>
              <w:t>11.07</w:t>
            </w:r>
          </w:p>
        </w:tc>
        <w:tc>
          <w:tcPr>
            <w:tcW w:w="178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c>
          <w:tcPr>
            <w:tcW w:w="161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right"/>
              <w:rPr>
                <w:rFonts w:ascii="仿宋_GB2312" w:hAnsi="宋体" w:eastAsia="仿宋_GB2312" w:cs="宋体"/>
                <w:color w:val="000000"/>
                <w:sz w:val="18"/>
                <w:szCs w:val="18"/>
              </w:rPr>
            </w:pPr>
          </w:p>
        </w:tc>
      </w:tr>
      <w:bookmarkEnd w:id="2"/>
    </w:tbl>
    <w:p>
      <w:pPr>
        <w:widowControl/>
        <w:jc w:val="left"/>
        <w:rPr>
          <w:rFonts w:ascii="宋体" w:hAnsi="宋体"/>
          <w:b/>
          <w:szCs w:val="21"/>
        </w:rPr>
      </w:pPr>
    </w:p>
    <w:p>
      <w:pPr>
        <w:pStyle w:val="2"/>
        <w:rPr>
          <w:rFonts w:ascii="宋体" w:hAnsi="宋体"/>
          <w:b/>
          <w:szCs w:val="21"/>
        </w:rPr>
      </w:pPr>
    </w:p>
    <w:p>
      <w:pPr>
        <w:pStyle w:val="2"/>
        <w:rPr>
          <w:rFonts w:ascii="宋体" w:hAnsi="宋体"/>
          <w:b/>
          <w:szCs w:val="21"/>
        </w:rPr>
      </w:pPr>
    </w:p>
    <w:p>
      <w:pPr>
        <w:pStyle w:val="2"/>
        <w:rPr>
          <w:rFonts w:ascii="宋体" w:hAnsi="宋体"/>
          <w:b/>
          <w:szCs w:val="21"/>
        </w:rPr>
      </w:pPr>
    </w:p>
    <w:tbl>
      <w:tblPr>
        <w:tblStyle w:val="9"/>
        <w:tblW w:w="14360" w:type="dxa"/>
        <w:tblInd w:w="0" w:type="dxa"/>
        <w:tblLayout w:type="fixed"/>
        <w:tblCellMar>
          <w:top w:w="0" w:type="dxa"/>
          <w:left w:w="0" w:type="dxa"/>
          <w:bottom w:w="0" w:type="dxa"/>
          <w:right w:w="0" w:type="dxa"/>
        </w:tblCellMar>
      </w:tblPr>
      <w:tblGrid>
        <w:gridCol w:w="675"/>
        <w:gridCol w:w="649"/>
        <w:gridCol w:w="2891"/>
        <w:gridCol w:w="675"/>
        <w:gridCol w:w="697"/>
        <w:gridCol w:w="3825"/>
        <w:gridCol w:w="1645"/>
        <w:gridCol w:w="1645"/>
        <w:gridCol w:w="1658"/>
      </w:tblGrid>
      <w:tr>
        <w:tblPrEx>
          <w:tblCellMar>
            <w:top w:w="0" w:type="dxa"/>
            <w:left w:w="0" w:type="dxa"/>
            <w:bottom w:w="0" w:type="dxa"/>
            <w:right w:w="0" w:type="dxa"/>
          </w:tblCellMar>
        </w:tblPrEx>
        <w:trPr>
          <w:trHeight w:val="90" w:hRule="atLeast"/>
        </w:trPr>
        <w:tc>
          <w:tcPr>
            <w:tcW w:w="14360" w:type="dxa"/>
            <w:gridSpan w:val="9"/>
            <w:tcBorders>
              <w:top w:val="nil"/>
              <w:left w:val="nil"/>
              <w:bottom w:val="nil"/>
              <w:right w:val="nil"/>
            </w:tcBorders>
            <w:shd w:val="clear" w:color="000000" w:fill="FFFFFF"/>
            <w:tcMar>
              <w:top w:w="10" w:type="dxa"/>
              <w:left w:w="10" w:type="dxa"/>
              <w:right w:w="10" w:type="dxa"/>
            </w:tcMar>
            <w:vAlign w:val="center"/>
          </w:tcPr>
          <w:p>
            <w:pPr>
              <w:jc w:val="right"/>
              <w:rPr>
                <w:rFonts w:ascii="宋体" w:hAnsi="宋体" w:eastAsia="黑体" w:cs="宋体"/>
                <w:color w:val="000000"/>
                <w:sz w:val="18"/>
                <w:szCs w:val="18"/>
              </w:rPr>
            </w:pPr>
            <w:r>
              <w:rPr>
                <w:rFonts w:hint="eastAsia" w:ascii="黑体" w:hAnsi="黑体" w:eastAsia="黑体"/>
                <w:bCs/>
                <w:szCs w:val="21"/>
              </w:rPr>
              <w:t>部门公开表</w:t>
            </w:r>
            <w:r>
              <w:rPr>
                <w:rFonts w:ascii="黑体" w:hAnsi="黑体" w:eastAsia="黑体"/>
                <w:bCs/>
                <w:szCs w:val="21"/>
              </w:rPr>
              <w:t>6</w:t>
            </w:r>
          </w:p>
        </w:tc>
      </w:tr>
      <w:tr>
        <w:tblPrEx>
          <w:tblCellMar>
            <w:top w:w="0" w:type="dxa"/>
            <w:left w:w="0" w:type="dxa"/>
            <w:bottom w:w="0" w:type="dxa"/>
            <w:right w:w="0" w:type="dxa"/>
          </w:tblCellMar>
        </w:tblPrEx>
        <w:trPr>
          <w:trHeight w:val="90" w:hRule="atLeast"/>
        </w:trPr>
        <w:tc>
          <w:tcPr>
            <w:tcW w:w="14360" w:type="dxa"/>
            <w:gridSpan w:val="9"/>
            <w:tcBorders>
              <w:top w:val="nil"/>
              <w:left w:val="nil"/>
              <w:bottom w:val="nil"/>
              <w:right w:val="nil"/>
            </w:tcBorders>
            <w:shd w:val="clear" w:color="000000" w:fill="FFFFFF"/>
            <w:tcMar>
              <w:top w:w="10" w:type="dxa"/>
              <w:left w:w="10" w:type="dxa"/>
              <w:right w:w="10" w:type="dxa"/>
            </w:tcMar>
            <w:vAlign w:val="center"/>
          </w:tcPr>
          <w:p>
            <w:pPr>
              <w:widowControl/>
              <w:jc w:val="center"/>
              <w:textAlignment w:val="center"/>
              <w:rPr>
                <w:rFonts w:ascii="宋体" w:hAnsi="宋体" w:cs="宋体"/>
                <w:b/>
                <w:color w:val="000000"/>
                <w:sz w:val="36"/>
                <w:szCs w:val="36"/>
              </w:rPr>
            </w:pPr>
            <w:r>
              <w:rPr>
                <w:rFonts w:hint="eastAsia" w:ascii="黑体" w:hAnsi="黑体" w:eastAsia="黑体"/>
                <w:bCs/>
                <w:sz w:val="28"/>
                <w:szCs w:val="28"/>
              </w:rPr>
              <w:t>一般公共预算基本支出预算表</w:t>
            </w:r>
          </w:p>
        </w:tc>
      </w:tr>
      <w:tr>
        <w:tblPrEx>
          <w:tblCellMar>
            <w:top w:w="0" w:type="dxa"/>
            <w:left w:w="0" w:type="dxa"/>
            <w:bottom w:w="0" w:type="dxa"/>
            <w:right w:w="0" w:type="dxa"/>
          </w:tblCellMar>
        </w:tblPrEx>
        <w:trPr>
          <w:trHeight w:val="90" w:hRule="atLeast"/>
        </w:trPr>
        <w:tc>
          <w:tcPr>
            <w:tcW w:w="14360" w:type="dxa"/>
            <w:gridSpan w:val="9"/>
            <w:tcBorders>
              <w:top w:val="nil"/>
              <w:left w:val="nil"/>
              <w:bottom w:val="nil"/>
              <w:right w:val="nil"/>
            </w:tcBorders>
            <w:shd w:val="clear" w:color="000000" w:fill="FFFFFF"/>
            <w:tcMar>
              <w:top w:w="10" w:type="dxa"/>
              <w:left w:w="10" w:type="dxa"/>
              <w:right w:w="10" w:type="dxa"/>
            </w:tcMar>
            <w:vAlign w:val="center"/>
          </w:tcPr>
          <w:p>
            <w:pPr>
              <w:widowControl/>
              <w:jc w:val="right"/>
              <w:textAlignment w:val="center"/>
              <w:rPr>
                <w:rFonts w:ascii="仿宋_GB2312" w:hAnsi="宋体" w:eastAsia="仿宋_GB2312" w:cs="宋体"/>
                <w:kern w:val="0"/>
                <w:szCs w:val="21"/>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90" w:hRule="atLeast"/>
        </w:trPr>
        <w:tc>
          <w:tcPr>
            <w:tcW w:w="1324" w:type="dxa"/>
            <w:gridSpan w:val="2"/>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科目编码</w:t>
            </w:r>
          </w:p>
        </w:tc>
        <w:tc>
          <w:tcPr>
            <w:tcW w:w="289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部门预算支出经济分类科目名称</w:t>
            </w:r>
          </w:p>
        </w:tc>
        <w:tc>
          <w:tcPr>
            <w:tcW w:w="1372" w:type="dxa"/>
            <w:gridSpan w:val="2"/>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科目编码</w:t>
            </w:r>
          </w:p>
        </w:tc>
        <w:tc>
          <w:tcPr>
            <w:tcW w:w="3825" w:type="dxa"/>
            <w:vMerge w:val="restart"/>
            <w:tcBorders>
              <w:top w:val="single" w:color="auto" w:sz="4" w:space="0"/>
              <w:left w:val="nil"/>
              <w:right w:val="single" w:color="000000" w:sz="4" w:space="0"/>
            </w:tcBorders>
            <w:shd w:val="clear" w:color="000000" w:fill="FFFFFF"/>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政府预算支出经济分类科目名称</w:t>
            </w:r>
          </w:p>
        </w:tc>
        <w:tc>
          <w:tcPr>
            <w:tcW w:w="4948" w:type="dxa"/>
            <w:gridSpan w:val="3"/>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基本支出预算</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类</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款</w:t>
            </w:r>
          </w:p>
        </w:tc>
        <w:tc>
          <w:tcPr>
            <w:tcW w:w="289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类</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款</w:t>
            </w:r>
          </w:p>
        </w:tc>
        <w:tc>
          <w:tcPr>
            <w:tcW w:w="3825" w:type="dxa"/>
            <w:vMerge w:val="continue"/>
            <w:tcBorders>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p>
        </w:tc>
        <w:tc>
          <w:tcPr>
            <w:tcW w:w="1645" w:type="dxa"/>
            <w:tcBorders>
              <w:top w:val="nil"/>
              <w:left w:val="single" w:color="000000"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人员支出</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日常公用支出</w:t>
            </w:r>
          </w:p>
        </w:tc>
      </w:tr>
      <w:tr>
        <w:tblPrEx>
          <w:tblCellMar>
            <w:top w:w="0" w:type="dxa"/>
            <w:left w:w="0" w:type="dxa"/>
            <w:bottom w:w="0" w:type="dxa"/>
            <w:right w:w="0" w:type="dxa"/>
          </w:tblCellMar>
        </w:tblPrEx>
        <w:trPr>
          <w:trHeight w:val="90" w:hRule="atLeast"/>
        </w:trPr>
        <w:tc>
          <w:tcPr>
            <w:tcW w:w="9412" w:type="dxa"/>
            <w:gridSpan w:val="6"/>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合    计</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535.16</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512.15</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23.01</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ascii="仿宋_GB2312" w:hAnsi="仿宋_GB2312" w:eastAsia="仿宋_GB2312" w:cs="仿宋_GB2312"/>
                <w:color w:val="000000"/>
                <w:sz w:val="18"/>
                <w:szCs w:val="18"/>
              </w:rPr>
            </w:pP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工资福利支出</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ascii="仿宋_GB2312" w:hAnsi="仿宋_GB2312" w:eastAsia="仿宋_GB2312" w:cs="仿宋_GB2312"/>
                <w:color w:val="000000"/>
                <w:sz w:val="18"/>
                <w:szCs w:val="18"/>
              </w:rPr>
            </w:pP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机关工资福利支出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202.23</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202.23</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基本工资</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工资奖金津补贴</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53.70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53.70</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02</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津贴补贴</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工资奖金津补贴</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70.77</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70.77</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03</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奖金</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工资奖金津补贴</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9.83</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9.83</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08</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机关事业单位基本养老保险缴费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社会保障缴费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16.73</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16.73</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10</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职工基本医疗保险缴费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社会保障缴费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7.32</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7.32</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公务员医疗补助缴费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社会保障缴费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4.18</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4.18</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12</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其他社会保障缴费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社会保障缴费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13.59</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13.59</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13</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住房公积金</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03</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住房公积金</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16.11</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16.11</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99</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其他工资福利支出</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501</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99</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其他工资福利支出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10.00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10.00</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1324" w:type="dxa"/>
            <w:gridSpan w:val="2"/>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科目编码</w:t>
            </w:r>
          </w:p>
        </w:tc>
        <w:tc>
          <w:tcPr>
            <w:tcW w:w="289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部门预算支出经济分类科目名称</w:t>
            </w:r>
          </w:p>
        </w:tc>
        <w:tc>
          <w:tcPr>
            <w:tcW w:w="1372" w:type="dxa"/>
            <w:gridSpan w:val="2"/>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科目编码</w:t>
            </w:r>
          </w:p>
        </w:tc>
        <w:tc>
          <w:tcPr>
            <w:tcW w:w="3825" w:type="dxa"/>
            <w:vMerge w:val="restart"/>
            <w:tcBorders>
              <w:top w:val="single" w:color="auto" w:sz="4" w:space="0"/>
              <w:left w:val="nil"/>
              <w:right w:val="single" w:color="000000" w:sz="4" w:space="0"/>
            </w:tcBorders>
            <w:shd w:val="clear" w:color="000000" w:fill="FFFFFF"/>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政府预算支出经济分类科目名称</w:t>
            </w:r>
          </w:p>
        </w:tc>
        <w:tc>
          <w:tcPr>
            <w:tcW w:w="4948" w:type="dxa"/>
            <w:gridSpan w:val="3"/>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基本支出预算</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类</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款</w:t>
            </w:r>
          </w:p>
        </w:tc>
        <w:tc>
          <w:tcPr>
            <w:tcW w:w="289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类</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款</w:t>
            </w:r>
          </w:p>
        </w:tc>
        <w:tc>
          <w:tcPr>
            <w:tcW w:w="3825" w:type="dxa"/>
            <w:vMerge w:val="continue"/>
            <w:tcBorders>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p>
        </w:tc>
        <w:tc>
          <w:tcPr>
            <w:tcW w:w="1645" w:type="dxa"/>
            <w:tcBorders>
              <w:top w:val="nil"/>
              <w:left w:val="single" w:color="000000"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人员支出</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日常公用支出</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工资福利支出</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对事业单位经常性补助</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290.49</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290.49</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基本工资</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85.94</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85.94</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津贴补贴</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113.57</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113.57</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07</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绩效工资</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16.15</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16.15</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08</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机关事业单位基本养老保险缴费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27.56</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27.56</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10</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职工基本医疗保险缴费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12.06</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12.06</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公务员医疗补助缴费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6.89</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6.89</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12</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其他社会保障缴费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2.46</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2.46</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301</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13</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住房公积金</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工资福利支出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25.86</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25.86</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商品和服务支出</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502</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机关商品和服务支出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15.51</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15.51</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办公费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502</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办公经费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1.30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1.30</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28</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工会经费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502</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办公经费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2.88</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2.88</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29</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福利费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502</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办公经费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0.39</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0.39</w:t>
            </w:r>
          </w:p>
        </w:tc>
      </w:tr>
      <w:tr>
        <w:tblPrEx>
          <w:tblCellMar>
            <w:top w:w="0" w:type="dxa"/>
            <w:left w:w="0" w:type="dxa"/>
            <w:bottom w:w="0" w:type="dxa"/>
            <w:right w:w="0" w:type="dxa"/>
          </w:tblCellMar>
        </w:tblPrEx>
        <w:trPr>
          <w:trHeight w:val="90" w:hRule="atLeast"/>
        </w:trPr>
        <w:tc>
          <w:tcPr>
            <w:tcW w:w="1324" w:type="dxa"/>
            <w:gridSpan w:val="2"/>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科目编码</w:t>
            </w:r>
          </w:p>
        </w:tc>
        <w:tc>
          <w:tcPr>
            <w:tcW w:w="289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部门预算支出经济分类科目名称</w:t>
            </w:r>
          </w:p>
        </w:tc>
        <w:tc>
          <w:tcPr>
            <w:tcW w:w="1372" w:type="dxa"/>
            <w:gridSpan w:val="2"/>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科目编码</w:t>
            </w:r>
          </w:p>
        </w:tc>
        <w:tc>
          <w:tcPr>
            <w:tcW w:w="3825" w:type="dxa"/>
            <w:vMerge w:val="restart"/>
            <w:tcBorders>
              <w:top w:val="single" w:color="auto" w:sz="4" w:space="0"/>
              <w:left w:val="nil"/>
              <w:right w:val="single" w:color="000000" w:sz="4" w:space="0"/>
            </w:tcBorders>
            <w:shd w:val="clear" w:color="000000" w:fill="FFFFFF"/>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政府预算支出经济分类科目名称</w:t>
            </w:r>
          </w:p>
        </w:tc>
        <w:tc>
          <w:tcPr>
            <w:tcW w:w="4948" w:type="dxa"/>
            <w:gridSpan w:val="3"/>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基本支出预算</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类</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款</w:t>
            </w:r>
          </w:p>
        </w:tc>
        <w:tc>
          <w:tcPr>
            <w:tcW w:w="289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类</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款</w:t>
            </w:r>
          </w:p>
        </w:tc>
        <w:tc>
          <w:tcPr>
            <w:tcW w:w="3825" w:type="dxa"/>
            <w:vMerge w:val="continue"/>
            <w:tcBorders>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p>
        </w:tc>
        <w:tc>
          <w:tcPr>
            <w:tcW w:w="1645" w:type="dxa"/>
            <w:tcBorders>
              <w:top w:val="nil"/>
              <w:left w:val="single" w:color="000000"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人员支出</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日常公用支出</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31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公务用车运行维护费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502</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08</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公务用车运行维护费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1.50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1.50</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39</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其他交通费用</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502</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办公经费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9.44</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9.44</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商品和服务支出</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对事业单位经常性补助</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7.35</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7.35</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01</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办公费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商品和服务支出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2.10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2.10</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28</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工会经费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商品和服务支出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4.33</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4.33</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29</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福利费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商品和服务支出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0.20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0.20</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302</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39</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其他交通费用</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505</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商品和服务支出</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0.72</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0.72</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303</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对个人和家庭的补助</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509</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left"/>
              <w:rPr>
                <w:rFonts w:hint="eastAsia" w:ascii="仿宋_GB2312" w:hAnsi="仿宋_GB2312" w:eastAsia="仿宋_GB2312" w:cs="仿宋_GB2312"/>
                <w:color w:val="000000"/>
                <w:kern w:val="0"/>
                <w:sz w:val="18"/>
                <w:szCs w:val="18"/>
                <w:lang w:bidi="ar"/>
              </w:rPr>
            </w:pP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对个人和家庭的补助</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19.58</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19.43</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0.15</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303</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02</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退休费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509</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05</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离退休费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9.75</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9.60</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0.15</w:t>
            </w: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303</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03</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退职（役）费</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509</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hint="eastAsia" w:ascii="仿宋_GB2312" w:hAnsi="仿宋_GB2312" w:eastAsia="仿宋_GB2312" w:cs="仿宋_GB2312"/>
                <w:color w:val="000000"/>
                <w:kern w:val="0"/>
                <w:sz w:val="18"/>
                <w:szCs w:val="18"/>
                <w:lang w:bidi="ar"/>
              </w:rPr>
            </w:pPr>
            <w:r>
              <w:rPr>
                <w:rFonts w:hint="eastAsia" w:ascii="宋体" w:hAnsi="宋体" w:eastAsia="宋体" w:cs="宋体"/>
                <w:i w:val="0"/>
                <w:color w:val="000000"/>
                <w:kern w:val="0"/>
                <w:sz w:val="20"/>
                <w:szCs w:val="20"/>
                <w:u w:val="none"/>
                <w:lang w:val="en-US" w:eastAsia="zh-CN" w:bidi="ar"/>
              </w:rPr>
              <w:t xml:space="preserve">  05</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离退休费</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1.58</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1.58</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303</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05</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生活补助</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509</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社会福利和救助</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4.69</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4.69</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303</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07</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医疗费补助</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509</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社会福利和救助</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0.17</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0.17</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90" w:hRule="atLeast"/>
        </w:trPr>
        <w:tc>
          <w:tcPr>
            <w:tcW w:w="67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303</w:t>
            </w:r>
          </w:p>
        </w:tc>
        <w:tc>
          <w:tcPr>
            <w:tcW w:w="64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09</w:t>
            </w:r>
          </w:p>
        </w:tc>
        <w:tc>
          <w:tcPr>
            <w:tcW w:w="289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奖励金</w:t>
            </w:r>
          </w:p>
        </w:tc>
        <w:tc>
          <w:tcPr>
            <w:tcW w:w="67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509</w:t>
            </w:r>
          </w:p>
        </w:tc>
        <w:tc>
          <w:tcPr>
            <w:tcW w:w="697"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xml:space="preserve">  01</w:t>
            </w:r>
          </w:p>
        </w:tc>
        <w:tc>
          <w:tcPr>
            <w:tcW w:w="382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lef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　　社会福利和救助</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1.90</w:t>
            </w:r>
          </w:p>
        </w:tc>
        <w:tc>
          <w:tcPr>
            <w:tcW w:w="164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keepNext w:val="0"/>
              <w:keepLines w:val="0"/>
              <w:widowControl/>
              <w:suppressLineNumbers w:val="0"/>
              <w:jc w:val="right"/>
              <w:textAlignment w:val="center"/>
              <w:rPr>
                <w:rFonts w:ascii="仿宋_GB2312" w:hAnsi="仿宋_GB2312" w:eastAsia="仿宋_GB2312" w:cs="仿宋_GB2312"/>
                <w:color w:val="000000"/>
                <w:sz w:val="18"/>
                <w:szCs w:val="18"/>
              </w:rPr>
            </w:pPr>
            <w:r>
              <w:rPr>
                <w:rFonts w:hint="eastAsia" w:ascii="宋体" w:hAnsi="宋体" w:eastAsia="宋体" w:cs="宋体"/>
                <w:i w:val="0"/>
                <w:color w:val="000000"/>
                <w:kern w:val="0"/>
                <w:sz w:val="20"/>
                <w:szCs w:val="20"/>
                <w:u w:val="none"/>
                <w:lang w:val="en-US" w:eastAsia="zh-CN" w:bidi="ar"/>
              </w:rPr>
              <w:t>1.90</w:t>
            </w:r>
          </w:p>
        </w:tc>
        <w:tc>
          <w:tcPr>
            <w:tcW w:w="165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jc w:val="right"/>
              <w:rPr>
                <w:rFonts w:ascii="仿宋_GB2312" w:hAnsi="仿宋_GB2312" w:eastAsia="仿宋_GB2312" w:cs="仿宋_GB2312"/>
                <w:color w:val="000000"/>
                <w:sz w:val="18"/>
                <w:szCs w:val="18"/>
              </w:rPr>
            </w:pPr>
          </w:p>
        </w:tc>
      </w:tr>
    </w:tbl>
    <w:p>
      <w:pPr>
        <w:widowControl/>
        <w:jc w:val="left"/>
        <w:rPr>
          <w:rFonts w:ascii="宋体" w:hAnsi="宋体"/>
          <w:b/>
          <w:szCs w:val="21"/>
        </w:rPr>
      </w:pPr>
      <w:r>
        <w:rPr>
          <w:rFonts w:ascii="仿宋_GB2312" w:eastAsia="仿宋_GB2312"/>
          <w:b/>
          <w:sz w:val="30"/>
          <w:szCs w:val="30"/>
        </w:rPr>
        <w:br w:type="page"/>
      </w:r>
    </w:p>
    <w:tbl>
      <w:tblPr>
        <w:tblStyle w:val="9"/>
        <w:tblW w:w="14570" w:type="dxa"/>
        <w:tblInd w:w="0" w:type="dxa"/>
        <w:tblLayout w:type="fixed"/>
        <w:tblCellMar>
          <w:top w:w="0" w:type="dxa"/>
          <w:left w:w="0" w:type="dxa"/>
          <w:bottom w:w="0" w:type="dxa"/>
          <w:right w:w="0" w:type="dxa"/>
        </w:tblCellMar>
      </w:tblPr>
      <w:tblGrid>
        <w:gridCol w:w="1177"/>
        <w:gridCol w:w="1209"/>
        <w:gridCol w:w="1136"/>
        <w:gridCol w:w="1233"/>
        <w:gridCol w:w="1166"/>
        <w:gridCol w:w="1338"/>
        <w:gridCol w:w="1136"/>
        <w:gridCol w:w="1276"/>
        <w:gridCol w:w="1145"/>
        <w:gridCol w:w="1128"/>
        <w:gridCol w:w="1201"/>
        <w:gridCol w:w="1425"/>
      </w:tblGrid>
      <w:tr>
        <w:tblPrEx>
          <w:tblCellMar>
            <w:top w:w="0" w:type="dxa"/>
            <w:left w:w="0" w:type="dxa"/>
            <w:bottom w:w="0" w:type="dxa"/>
            <w:right w:w="0" w:type="dxa"/>
          </w:tblCellMar>
        </w:tblPrEx>
        <w:trPr>
          <w:trHeight w:val="405" w:hRule="atLeast"/>
        </w:trPr>
        <w:tc>
          <w:tcPr>
            <w:tcW w:w="14570" w:type="dxa"/>
            <w:gridSpan w:val="12"/>
            <w:tcBorders>
              <w:top w:val="nil"/>
              <w:left w:val="nil"/>
              <w:bottom w:val="nil"/>
              <w:right w:val="nil"/>
            </w:tcBorders>
            <w:shd w:val="clear" w:color="000000" w:fill="FFFFFF"/>
            <w:tcMar>
              <w:top w:w="10" w:type="dxa"/>
              <w:left w:w="10" w:type="dxa"/>
              <w:right w:w="10" w:type="dxa"/>
            </w:tcMar>
            <w:vAlign w:val="center"/>
          </w:tcPr>
          <w:p>
            <w:pPr>
              <w:jc w:val="right"/>
              <w:rPr>
                <w:rFonts w:ascii="黑体" w:hAnsi="黑体" w:eastAsia="黑体"/>
                <w:bCs/>
                <w:szCs w:val="21"/>
              </w:rPr>
            </w:pPr>
            <w:r>
              <w:rPr>
                <w:rFonts w:hint="eastAsia" w:ascii="黑体" w:hAnsi="黑体" w:eastAsia="黑体"/>
                <w:bCs/>
                <w:szCs w:val="21"/>
              </w:rPr>
              <w:t>部门公开表</w:t>
            </w:r>
            <w:r>
              <w:rPr>
                <w:rFonts w:ascii="黑体" w:hAnsi="黑体" w:eastAsia="黑体"/>
                <w:bCs/>
                <w:szCs w:val="21"/>
              </w:rPr>
              <w:t>7</w:t>
            </w:r>
          </w:p>
        </w:tc>
      </w:tr>
      <w:tr>
        <w:tblPrEx>
          <w:tblCellMar>
            <w:top w:w="0" w:type="dxa"/>
            <w:left w:w="0" w:type="dxa"/>
            <w:bottom w:w="0" w:type="dxa"/>
            <w:right w:w="0" w:type="dxa"/>
          </w:tblCellMar>
        </w:tblPrEx>
        <w:trPr>
          <w:trHeight w:val="585" w:hRule="atLeast"/>
        </w:trPr>
        <w:tc>
          <w:tcPr>
            <w:tcW w:w="14570" w:type="dxa"/>
            <w:gridSpan w:val="12"/>
            <w:tcBorders>
              <w:top w:val="nil"/>
              <w:left w:val="nil"/>
              <w:bottom w:val="nil"/>
              <w:right w:val="nil"/>
            </w:tcBorders>
            <w:shd w:val="clear" w:color="000000" w:fill="FFFFFF"/>
            <w:tcMar>
              <w:top w:w="10" w:type="dxa"/>
              <w:left w:w="10" w:type="dxa"/>
              <w:right w:w="10" w:type="dxa"/>
            </w:tcMar>
            <w:vAlign w:val="center"/>
          </w:tcPr>
          <w:p>
            <w:pPr>
              <w:widowControl/>
              <w:jc w:val="center"/>
              <w:textAlignment w:val="center"/>
              <w:rPr>
                <w:rFonts w:ascii="黑体" w:hAnsi="黑体" w:eastAsia="黑体"/>
                <w:bCs/>
                <w:sz w:val="28"/>
                <w:szCs w:val="28"/>
              </w:rPr>
            </w:pPr>
            <w:r>
              <w:rPr>
                <w:rFonts w:hint="eastAsia" w:ascii="黑体" w:hAnsi="黑体" w:eastAsia="黑体"/>
                <w:bCs/>
                <w:sz w:val="28"/>
                <w:szCs w:val="28"/>
              </w:rPr>
              <w:t>一般公共预算“三公”经费支出预算表</w:t>
            </w:r>
          </w:p>
        </w:tc>
      </w:tr>
      <w:tr>
        <w:tblPrEx>
          <w:tblCellMar>
            <w:top w:w="0" w:type="dxa"/>
            <w:left w:w="0" w:type="dxa"/>
            <w:bottom w:w="0" w:type="dxa"/>
            <w:right w:w="0" w:type="dxa"/>
          </w:tblCellMar>
        </w:tblPrEx>
        <w:trPr>
          <w:trHeight w:val="480" w:hRule="atLeast"/>
        </w:trPr>
        <w:tc>
          <w:tcPr>
            <w:tcW w:w="14570" w:type="dxa"/>
            <w:gridSpan w:val="12"/>
            <w:tcBorders>
              <w:top w:val="nil"/>
              <w:left w:val="nil"/>
              <w:bottom w:val="single" w:color="auto" w:sz="4" w:space="0"/>
              <w:right w:val="nil"/>
            </w:tcBorders>
            <w:shd w:val="clear" w:color="000000" w:fill="FFFFFF"/>
            <w:tcMar>
              <w:top w:w="10" w:type="dxa"/>
              <w:left w:w="10" w:type="dxa"/>
              <w:right w:w="10" w:type="dxa"/>
            </w:tcMar>
            <w:vAlign w:val="center"/>
          </w:tcPr>
          <w:p>
            <w:pPr>
              <w:widowControl/>
              <w:jc w:val="right"/>
              <w:textAlignment w:val="center"/>
              <w:rPr>
                <w:rFonts w:ascii="宋体" w:hAnsi="宋体" w:cs="宋体"/>
                <w:color w:val="000000"/>
                <w:kern w:val="0"/>
                <w:sz w:val="18"/>
                <w:szCs w:val="18"/>
                <w:lang w:bidi="ar"/>
              </w:rPr>
            </w:pPr>
            <w:r>
              <w:rPr>
                <w:rFonts w:hint="eastAsia" w:ascii="宋体" w:hAnsi="宋体" w:cs="宋体"/>
                <w:color w:val="000000"/>
                <w:kern w:val="0"/>
                <w:sz w:val="18"/>
                <w:szCs w:val="18"/>
                <w:lang w:bidi="ar"/>
              </w:rPr>
              <w:t>单位：万元</w:t>
            </w:r>
          </w:p>
        </w:tc>
      </w:tr>
      <w:tr>
        <w:tblPrEx>
          <w:tblCellMar>
            <w:top w:w="0" w:type="dxa"/>
            <w:left w:w="0" w:type="dxa"/>
            <w:bottom w:w="0" w:type="dxa"/>
            <w:right w:w="0" w:type="dxa"/>
          </w:tblCellMar>
        </w:tblPrEx>
        <w:trPr>
          <w:trHeight w:val="480" w:hRule="atLeast"/>
        </w:trPr>
        <w:tc>
          <w:tcPr>
            <w:tcW w:w="7259" w:type="dxa"/>
            <w:gridSpan w:val="6"/>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2021年预算数</w:t>
            </w:r>
          </w:p>
        </w:tc>
        <w:tc>
          <w:tcPr>
            <w:tcW w:w="7311" w:type="dxa"/>
            <w:gridSpan w:val="6"/>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2022年预算数</w:t>
            </w:r>
          </w:p>
        </w:tc>
      </w:tr>
      <w:tr>
        <w:tblPrEx>
          <w:tblCellMar>
            <w:top w:w="0" w:type="dxa"/>
            <w:left w:w="0" w:type="dxa"/>
            <w:bottom w:w="0" w:type="dxa"/>
            <w:right w:w="0" w:type="dxa"/>
          </w:tblCellMar>
        </w:tblPrEx>
        <w:trPr>
          <w:trHeight w:val="590" w:hRule="atLeast"/>
        </w:trPr>
        <w:tc>
          <w:tcPr>
            <w:tcW w:w="1177"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合计</w:t>
            </w:r>
          </w:p>
        </w:tc>
        <w:tc>
          <w:tcPr>
            <w:tcW w:w="1209"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因公出国（境）经费</w:t>
            </w:r>
          </w:p>
        </w:tc>
        <w:tc>
          <w:tcPr>
            <w:tcW w:w="3535" w:type="dxa"/>
            <w:gridSpan w:val="3"/>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公务用车购置及运行维护费</w:t>
            </w:r>
          </w:p>
        </w:tc>
        <w:tc>
          <w:tcPr>
            <w:tcW w:w="1338"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公务接待费</w:t>
            </w:r>
          </w:p>
        </w:tc>
        <w:tc>
          <w:tcPr>
            <w:tcW w:w="1136"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合计</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因公出国（境）经费</w:t>
            </w:r>
          </w:p>
        </w:tc>
        <w:tc>
          <w:tcPr>
            <w:tcW w:w="3474" w:type="dxa"/>
            <w:gridSpan w:val="3"/>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公务用车购置及运行维护费</w:t>
            </w:r>
          </w:p>
        </w:tc>
        <w:tc>
          <w:tcPr>
            <w:tcW w:w="1425"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公务接待费</w:t>
            </w:r>
          </w:p>
        </w:tc>
      </w:tr>
      <w:tr>
        <w:tblPrEx>
          <w:tblCellMar>
            <w:top w:w="0" w:type="dxa"/>
            <w:left w:w="0" w:type="dxa"/>
            <w:bottom w:w="0" w:type="dxa"/>
            <w:right w:w="0" w:type="dxa"/>
          </w:tblCellMar>
        </w:tblPrEx>
        <w:trPr>
          <w:trHeight w:val="700" w:hRule="atLeast"/>
        </w:trPr>
        <w:tc>
          <w:tcPr>
            <w:tcW w:w="1177"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20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23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公务用车购置经费</w:t>
            </w:r>
          </w:p>
        </w:tc>
        <w:tc>
          <w:tcPr>
            <w:tcW w:w="116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公务用车运行维护费</w:t>
            </w:r>
          </w:p>
        </w:tc>
        <w:tc>
          <w:tcPr>
            <w:tcW w:w="1338"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136"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276"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14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12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公务用车购置经费</w:t>
            </w:r>
          </w:p>
        </w:tc>
        <w:tc>
          <w:tcPr>
            <w:tcW w:w="120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公务用车运行维护费</w:t>
            </w:r>
          </w:p>
        </w:tc>
        <w:tc>
          <w:tcPr>
            <w:tcW w:w="1425"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r>
      <w:tr>
        <w:tblPrEx>
          <w:tblCellMar>
            <w:top w:w="0" w:type="dxa"/>
            <w:left w:w="0" w:type="dxa"/>
            <w:bottom w:w="0" w:type="dxa"/>
            <w:right w:w="0" w:type="dxa"/>
          </w:tblCellMar>
        </w:tblPrEx>
        <w:trPr>
          <w:trHeight w:val="405" w:hRule="atLeast"/>
        </w:trPr>
        <w:tc>
          <w:tcPr>
            <w:tcW w:w="117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1.9</w:t>
            </w:r>
            <w:r>
              <w:rPr>
                <w:rFonts w:hint="eastAsia" w:ascii="仿宋_GB2312" w:hAnsi="仿宋_GB2312" w:eastAsia="仿宋_GB2312" w:cs="仿宋_GB2312"/>
                <w:color w:val="000000"/>
                <w:kern w:val="0"/>
                <w:sz w:val="18"/>
                <w:szCs w:val="18"/>
                <w:lang w:bidi="ar"/>
              </w:rPr>
              <w:t>　</w:t>
            </w:r>
          </w:p>
        </w:tc>
        <w:tc>
          <w:tcPr>
            <w:tcW w:w="1209"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1.5</w:t>
            </w:r>
            <w:r>
              <w:rPr>
                <w:rFonts w:hint="eastAsia" w:ascii="仿宋_GB2312" w:hAnsi="仿宋_GB2312" w:eastAsia="仿宋_GB2312" w:cs="仿宋_GB2312"/>
                <w:color w:val="000000"/>
                <w:kern w:val="0"/>
                <w:sz w:val="18"/>
                <w:szCs w:val="18"/>
                <w:lang w:bidi="ar"/>
              </w:rPr>
              <w:t>　</w:t>
            </w:r>
          </w:p>
        </w:tc>
        <w:tc>
          <w:tcPr>
            <w:tcW w:w="123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6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1.5</w:t>
            </w:r>
            <w:r>
              <w:rPr>
                <w:rFonts w:hint="eastAsia" w:ascii="仿宋_GB2312" w:hAnsi="仿宋_GB2312" w:eastAsia="仿宋_GB2312" w:cs="仿宋_GB2312"/>
                <w:color w:val="000000"/>
                <w:kern w:val="0"/>
                <w:sz w:val="18"/>
                <w:szCs w:val="18"/>
                <w:lang w:bidi="ar"/>
              </w:rPr>
              <w:t>　</w:t>
            </w:r>
          </w:p>
        </w:tc>
        <w:tc>
          <w:tcPr>
            <w:tcW w:w="133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0.4</w:t>
            </w: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1.9</w:t>
            </w:r>
            <w:r>
              <w:rPr>
                <w:rFonts w:hint="eastAsia" w:ascii="仿宋_GB2312" w:hAnsi="仿宋_GB2312" w:eastAsia="仿宋_GB2312" w:cs="仿宋_GB2312"/>
                <w:color w:val="000000"/>
                <w:kern w:val="0"/>
                <w:sz w:val="18"/>
                <w:szCs w:val="18"/>
                <w:lang w:bidi="ar"/>
              </w:rPr>
              <w:t>　</w:t>
            </w:r>
          </w:p>
        </w:tc>
        <w:tc>
          <w:tcPr>
            <w:tcW w:w="127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4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1.5</w:t>
            </w:r>
            <w:r>
              <w:rPr>
                <w:rFonts w:hint="eastAsia" w:ascii="仿宋_GB2312" w:hAnsi="仿宋_GB2312" w:eastAsia="仿宋_GB2312" w:cs="仿宋_GB2312"/>
                <w:color w:val="000000"/>
                <w:kern w:val="0"/>
                <w:sz w:val="18"/>
                <w:szCs w:val="18"/>
                <w:lang w:bidi="ar"/>
              </w:rPr>
              <w:t>　</w:t>
            </w:r>
          </w:p>
        </w:tc>
        <w:tc>
          <w:tcPr>
            <w:tcW w:w="112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1.5</w:t>
            </w:r>
            <w:r>
              <w:rPr>
                <w:rFonts w:hint="eastAsia" w:ascii="仿宋_GB2312" w:hAnsi="仿宋_GB2312" w:eastAsia="仿宋_GB2312" w:cs="仿宋_GB2312"/>
                <w:color w:val="000000"/>
                <w:kern w:val="0"/>
                <w:sz w:val="18"/>
                <w:szCs w:val="18"/>
                <w:lang w:bidi="ar"/>
              </w:rPr>
              <w:t>　</w:t>
            </w:r>
          </w:p>
        </w:tc>
        <w:tc>
          <w:tcPr>
            <w:tcW w:w="142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val="en-US" w:eastAsia="zh-CN" w:bidi="ar"/>
              </w:rPr>
              <w:t>0.4</w:t>
            </w:r>
            <w:r>
              <w:rPr>
                <w:rFonts w:hint="eastAsia" w:ascii="仿宋_GB2312" w:hAnsi="仿宋_GB2312" w:eastAsia="仿宋_GB2312" w:cs="仿宋_GB2312"/>
                <w:color w:val="000000"/>
                <w:kern w:val="0"/>
                <w:sz w:val="18"/>
                <w:szCs w:val="18"/>
                <w:lang w:bidi="ar"/>
              </w:rPr>
              <w:t>　</w:t>
            </w:r>
          </w:p>
        </w:tc>
      </w:tr>
      <w:tr>
        <w:tblPrEx>
          <w:tblCellMar>
            <w:top w:w="0" w:type="dxa"/>
            <w:left w:w="0" w:type="dxa"/>
            <w:bottom w:w="0" w:type="dxa"/>
            <w:right w:w="0" w:type="dxa"/>
          </w:tblCellMar>
        </w:tblPrEx>
        <w:trPr>
          <w:trHeight w:val="405" w:hRule="atLeast"/>
        </w:trPr>
        <w:tc>
          <w:tcPr>
            <w:tcW w:w="117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9"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3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6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33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7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4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2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42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r>
      <w:tr>
        <w:tblPrEx>
          <w:tblCellMar>
            <w:top w:w="0" w:type="dxa"/>
            <w:left w:w="0" w:type="dxa"/>
            <w:bottom w:w="0" w:type="dxa"/>
            <w:right w:w="0" w:type="dxa"/>
          </w:tblCellMar>
        </w:tblPrEx>
        <w:trPr>
          <w:trHeight w:val="405" w:hRule="atLeast"/>
        </w:trPr>
        <w:tc>
          <w:tcPr>
            <w:tcW w:w="117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9"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3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6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33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7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4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2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42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r>
      <w:tr>
        <w:tblPrEx>
          <w:tblCellMar>
            <w:top w:w="0" w:type="dxa"/>
            <w:left w:w="0" w:type="dxa"/>
            <w:bottom w:w="0" w:type="dxa"/>
            <w:right w:w="0" w:type="dxa"/>
          </w:tblCellMar>
        </w:tblPrEx>
        <w:trPr>
          <w:trHeight w:val="405" w:hRule="atLeast"/>
        </w:trPr>
        <w:tc>
          <w:tcPr>
            <w:tcW w:w="117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9"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3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6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33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7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4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2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42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r>
      <w:tr>
        <w:tblPrEx>
          <w:tblCellMar>
            <w:top w:w="0" w:type="dxa"/>
            <w:left w:w="0" w:type="dxa"/>
            <w:bottom w:w="0" w:type="dxa"/>
            <w:right w:w="0" w:type="dxa"/>
          </w:tblCellMar>
        </w:tblPrEx>
        <w:trPr>
          <w:trHeight w:val="405" w:hRule="atLeast"/>
        </w:trPr>
        <w:tc>
          <w:tcPr>
            <w:tcW w:w="117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9"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3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6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33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3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7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4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12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20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142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righ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r>
    </w:tbl>
    <w:p>
      <w:pPr>
        <w:widowControl/>
        <w:jc w:val="left"/>
        <w:rPr>
          <w:rFonts w:ascii="宋体" w:hAnsi="宋体"/>
          <w:b/>
          <w:szCs w:val="21"/>
        </w:rPr>
      </w:pPr>
      <w:r>
        <w:rPr>
          <w:rFonts w:hint="eastAsia" w:ascii="黑体" w:hAnsi="黑体" w:eastAsia="黑体"/>
          <w:bCs/>
          <w:szCs w:val="21"/>
        </w:rPr>
        <w:br w:type="page"/>
      </w:r>
    </w:p>
    <w:tbl>
      <w:tblPr>
        <w:tblStyle w:val="9"/>
        <w:tblW w:w="14570" w:type="dxa"/>
        <w:tblInd w:w="0" w:type="dxa"/>
        <w:tblLayout w:type="fixed"/>
        <w:tblCellMar>
          <w:top w:w="0" w:type="dxa"/>
          <w:left w:w="0" w:type="dxa"/>
          <w:bottom w:w="0" w:type="dxa"/>
          <w:right w:w="0" w:type="dxa"/>
        </w:tblCellMar>
      </w:tblPr>
      <w:tblGrid>
        <w:gridCol w:w="953"/>
        <w:gridCol w:w="953"/>
        <w:gridCol w:w="953"/>
        <w:gridCol w:w="3060"/>
        <w:gridCol w:w="1667"/>
        <w:gridCol w:w="1789"/>
        <w:gridCol w:w="1789"/>
        <w:gridCol w:w="1789"/>
        <w:gridCol w:w="1617"/>
      </w:tblGrid>
      <w:tr>
        <w:tblPrEx>
          <w:tblCellMar>
            <w:top w:w="0" w:type="dxa"/>
            <w:left w:w="0" w:type="dxa"/>
            <w:bottom w:w="0" w:type="dxa"/>
            <w:right w:w="0" w:type="dxa"/>
          </w:tblCellMar>
        </w:tblPrEx>
        <w:trPr>
          <w:trHeight w:val="450" w:hRule="atLeast"/>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pPr>
              <w:jc w:val="right"/>
              <w:rPr>
                <w:rFonts w:ascii="黑体" w:hAnsi="黑体" w:eastAsia="黑体"/>
                <w:bCs/>
                <w:szCs w:val="21"/>
              </w:rPr>
            </w:pPr>
            <w:r>
              <w:rPr>
                <w:rFonts w:hint="eastAsia" w:ascii="黑体" w:hAnsi="黑体" w:eastAsia="黑体"/>
                <w:bCs/>
                <w:szCs w:val="21"/>
              </w:rPr>
              <w:t>部门公开表</w:t>
            </w:r>
            <w:r>
              <w:rPr>
                <w:rFonts w:ascii="黑体" w:hAnsi="黑体" w:eastAsia="黑体"/>
                <w:bCs/>
                <w:szCs w:val="21"/>
              </w:rPr>
              <w:t>8</w:t>
            </w:r>
          </w:p>
          <w:p>
            <w:pPr>
              <w:jc w:val="center"/>
              <w:rPr>
                <w:rFonts w:ascii="黑体" w:hAnsi="黑体" w:eastAsia="黑体"/>
                <w:bCs/>
                <w:sz w:val="28"/>
                <w:szCs w:val="28"/>
              </w:rPr>
            </w:pPr>
            <w:r>
              <w:rPr>
                <w:rFonts w:hint="eastAsia" w:ascii="黑体" w:hAnsi="黑体" w:eastAsia="黑体"/>
                <w:bCs/>
                <w:sz w:val="28"/>
                <w:szCs w:val="28"/>
              </w:rPr>
              <w:t>政府性基金预算支出表</w:t>
            </w:r>
          </w:p>
          <w:p>
            <w:pPr>
              <w:widowControl/>
              <w:jc w:val="right"/>
              <w:textAlignment w:val="center"/>
              <w:rPr>
                <w:rFonts w:ascii="宋体" w:hAnsi="宋体" w:cs="宋体"/>
                <w:color w:val="000000"/>
                <w:sz w:val="20"/>
                <w:szCs w:val="20"/>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584" w:hRule="atLeast"/>
          <w:tblHeader/>
        </w:trPr>
        <w:tc>
          <w:tcPr>
            <w:tcW w:w="285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科目编码</w:t>
            </w:r>
          </w:p>
        </w:tc>
        <w:tc>
          <w:tcPr>
            <w:tcW w:w="306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科目名称</w:t>
            </w:r>
          </w:p>
        </w:tc>
        <w:tc>
          <w:tcPr>
            <w:tcW w:w="166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合计</w:t>
            </w:r>
          </w:p>
        </w:tc>
        <w:tc>
          <w:tcPr>
            <w:tcW w:w="5367"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基本支出</w:t>
            </w:r>
          </w:p>
        </w:tc>
        <w:tc>
          <w:tcPr>
            <w:tcW w:w="161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项目支出</w:t>
            </w:r>
          </w:p>
        </w:tc>
      </w:tr>
      <w:tr>
        <w:tblPrEx>
          <w:tblCellMar>
            <w:top w:w="0" w:type="dxa"/>
            <w:left w:w="0" w:type="dxa"/>
            <w:bottom w:w="0" w:type="dxa"/>
            <w:right w:w="0" w:type="dxa"/>
          </w:tblCellMar>
        </w:tblPrEx>
        <w:trPr>
          <w:trHeight w:val="499" w:hRule="atLeast"/>
          <w:tblHeader/>
        </w:trPr>
        <w:tc>
          <w:tcPr>
            <w:tcW w:w="95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类</w:t>
            </w:r>
          </w:p>
        </w:tc>
        <w:tc>
          <w:tcPr>
            <w:tcW w:w="95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款</w:t>
            </w:r>
          </w:p>
        </w:tc>
        <w:tc>
          <w:tcPr>
            <w:tcW w:w="95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项</w:t>
            </w:r>
          </w:p>
        </w:tc>
        <w:tc>
          <w:tcPr>
            <w:tcW w:w="306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6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小计</w:t>
            </w: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人员支出</w:t>
            </w: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日常公用支出</w:t>
            </w: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r>
      <w:tr>
        <w:tblPrEx>
          <w:tblCellMar>
            <w:top w:w="0" w:type="dxa"/>
            <w:left w:w="0" w:type="dxa"/>
            <w:bottom w:w="0" w:type="dxa"/>
            <w:right w:w="0" w:type="dxa"/>
          </w:tblCellMar>
        </w:tblPrEx>
        <w:trPr>
          <w:trHeight w:val="312" w:hRule="atLeast"/>
          <w:tblHeader/>
        </w:trPr>
        <w:tc>
          <w:tcPr>
            <w:tcW w:w="95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95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95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306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6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1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r>
      <w:tr>
        <w:tblPrEx>
          <w:tblCellMar>
            <w:top w:w="0" w:type="dxa"/>
            <w:left w:w="0" w:type="dxa"/>
            <w:bottom w:w="0" w:type="dxa"/>
            <w:right w:w="0" w:type="dxa"/>
          </w:tblCellMar>
        </w:tblPrEx>
        <w:trPr>
          <w:trHeight w:val="499" w:hRule="atLeast"/>
        </w:trPr>
        <w:tc>
          <w:tcPr>
            <w:tcW w:w="5919"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合    计</w:t>
            </w: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1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bl>
    <w:p>
      <w:pPr>
        <w:jc w:val="left"/>
        <w:rPr>
          <w:rFonts w:ascii="仿宋_GB2312" w:eastAsia="仿宋_GB2312"/>
          <w:b/>
          <w:szCs w:val="21"/>
          <w:highlight w:val="none"/>
        </w:rPr>
      </w:pPr>
      <w:r>
        <w:rPr>
          <w:rFonts w:hint="eastAsia" w:ascii="仿宋_GB2312" w:eastAsia="仿宋_GB2312"/>
          <w:b/>
          <w:szCs w:val="21"/>
          <w:highlight w:val="none"/>
        </w:rPr>
        <w:t>注：</w:t>
      </w:r>
      <w:r>
        <w:rPr>
          <w:rFonts w:hint="eastAsia" w:ascii="仿宋_GB2312" w:eastAsia="仿宋_GB2312"/>
          <w:b/>
          <w:szCs w:val="21"/>
          <w:highlight w:val="none"/>
          <w:lang w:val="en-US" w:eastAsia="zh-CN"/>
        </w:rPr>
        <w:t>招远市审计局</w:t>
      </w:r>
      <w:r>
        <w:rPr>
          <w:rFonts w:hint="eastAsia" w:ascii="仿宋_GB2312" w:eastAsia="仿宋_GB2312"/>
          <w:b/>
          <w:szCs w:val="21"/>
          <w:highlight w:val="none"/>
        </w:rPr>
        <w:t>部门202</w:t>
      </w:r>
      <w:r>
        <w:rPr>
          <w:rFonts w:ascii="仿宋_GB2312" w:eastAsia="仿宋_GB2312"/>
          <w:b/>
          <w:szCs w:val="21"/>
          <w:highlight w:val="none"/>
        </w:rPr>
        <w:t>2</w:t>
      </w:r>
      <w:r>
        <w:rPr>
          <w:rFonts w:hint="eastAsia" w:ascii="仿宋_GB2312" w:eastAsia="仿宋_GB2312"/>
          <w:b/>
          <w:szCs w:val="21"/>
          <w:highlight w:val="none"/>
        </w:rPr>
        <w:t>年没有使用政府性基金预算拨款安排的支出。</w:t>
      </w:r>
    </w:p>
    <w:p>
      <w:pPr>
        <w:widowControl/>
        <w:jc w:val="left"/>
        <w:rPr>
          <w:rFonts w:ascii="楷体_GB2312" w:eastAsia="楷体_GB2312"/>
          <w:sz w:val="32"/>
          <w:szCs w:val="32"/>
        </w:rPr>
      </w:pPr>
      <w:r>
        <w:rPr>
          <w:rFonts w:ascii="楷体_GB2312" w:eastAsia="楷体_GB2312"/>
          <w:sz w:val="32"/>
          <w:szCs w:val="32"/>
        </w:rPr>
        <w:br w:type="page"/>
      </w:r>
    </w:p>
    <w:tbl>
      <w:tblPr>
        <w:tblStyle w:val="9"/>
        <w:tblW w:w="14570" w:type="dxa"/>
        <w:tblInd w:w="0" w:type="dxa"/>
        <w:tblLayout w:type="fixed"/>
        <w:tblCellMar>
          <w:top w:w="0" w:type="dxa"/>
          <w:left w:w="0" w:type="dxa"/>
          <w:bottom w:w="0" w:type="dxa"/>
          <w:right w:w="0" w:type="dxa"/>
        </w:tblCellMar>
      </w:tblPr>
      <w:tblGrid>
        <w:gridCol w:w="685"/>
        <w:gridCol w:w="659"/>
        <w:gridCol w:w="2934"/>
        <w:gridCol w:w="685"/>
        <w:gridCol w:w="708"/>
        <w:gridCol w:w="3881"/>
        <w:gridCol w:w="1670"/>
        <w:gridCol w:w="1670"/>
        <w:gridCol w:w="1678"/>
      </w:tblGrid>
      <w:tr>
        <w:tblPrEx>
          <w:tblCellMar>
            <w:top w:w="0" w:type="dxa"/>
            <w:left w:w="0" w:type="dxa"/>
            <w:bottom w:w="0" w:type="dxa"/>
            <w:right w:w="0" w:type="dxa"/>
          </w:tblCellMar>
        </w:tblPrEx>
        <w:trPr>
          <w:trHeight w:val="473" w:hRule="atLeast"/>
        </w:trPr>
        <w:tc>
          <w:tcPr>
            <w:tcW w:w="14570" w:type="dxa"/>
            <w:gridSpan w:val="9"/>
            <w:tcBorders>
              <w:top w:val="nil"/>
              <w:left w:val="nil"/>
              <w:bottom w:val="nil"/>
              <w:right w:val="nil"/>
            </w:tcBorders>
            <w:shd w:val="clear" w:color="000000" w:fill="FFFFFF"/>
            <w:tcMar>
              <w:top w:w="10" w:type="dxa"/>
              <w:left w:w="10" w:type="dxa"/>
              <w:right w:w="10" w:type="dxa"/>
            </w:tcMar>
            <w:vAlign w:val="center"/>
          </w:tcPr>
          <w:p>
            <w:pPr>
              <w:jc w:val="right"/>
              <w:rPr>
                <w:rFonts w:ascii="宋体" w:hAnsi="宋体" w:eastAsia="黑体" w:cs="宋体"/>
                <w:color w:val="000000"/>
                <w:sz w:val="18"/>
                <w:szCs w:val="18"/>
              </w:rPr>
            </w:pPr>
            <w:r>
              <w:rPr>
                <w:rFonts w:hint="eastAsia" w:ascii="黑体" w:hAnsi="黑体" w:eastAsia="黑体"/>
                <w:bCs/>
                <w:szCs w:val="21"/>
              </w:rPr>
              <w:t>部门公开表</w:t>
            </w:r>
            <w:r>
              <w:rPr>
                <w:rFonts w:ascii="黑体" w:hAnsi="黑体" w:eastAsia="黑体"/>
                <w:bCs/>
                <w:szCs w:val="21"/>
              </w:rPr>
              <w:t>9</w:t>
            </w:r>
          </w:p>
        </w:tc>
      </w:tr>
      <w:tr>
        <w:tblPrEx>
          <w:tblCellMar>
            <w:top w:w="0" w:type="dxa"/>
            <w:left w:w="0" w:type="dxa"/>
            <w:bottom w:w="0" w:type="dxa"/>
            <w:right w:w="0" w:type="dxa"/>
          </w:tblCellMar>
        </w:tblPrEx>
        <w:trPr>
          <w:trHeight w:val="641" w:hRule="atLeast"/>
        </w:trPr>
        <w:tc>
          <w:tcPr>
            <w:tcW w:w="14570" w:type="dxa"/>
            <w:gridSpan w:val="9"/>
            <w:tcBorders>
              <w:top w:val="nil"/>
              <w:left w:val="nil"/>
              <w:bottom w:val="nil"/>
              <w:right w:val="nil"/>
            </w:tcBorders>
            <w:shd w:val="clear" w:color="000000" w:fill="FFFFFF"/>
            <w:tcMar>
              <w:top w:w="10" w:type="dxa"/>
              <w:left w:w="10" w:type="dxa"/>
              <w:right w:w="10" w:type="dxa"/>
            </w:tcMar>
            <w:vAlign w:val="center"/>
          </w:tcPr>
          <w:p>
            <w:pPr>
              <w:widowControl/>
              <w:jc w:val="center"/>
              <w:textAlignment w:val="center"/>
              <w:rPr>
                <w:rFonts w:ascii="宋体" w:hAnsi="宋体" w:cs="宋体"/>
                <w:b/>
                <w:color w:val="000000"/>
                <w:sz w:val="36"/>
                <w:szCs w:val="36"/>
              </w:rPr>
            </w:pPr>
            <w:r>
              <w:rPr>
                <w:rFonts w:hint="eastAsia" w:ascii="黑体" w:hAnsi="黑体" w:eastAsia="黑体"/>
                <w:bCs/>
                <w:sz w:val="28"/>
                <w:szCs w:val="28"/>
              </w:rPr>
              <w:t>政府性基金预算基本支出预算表</w:t>
            </w:r>
          </w:p>
        </w:tc>
      </w:tr>
      <w:tr>
        <w:tblPrEx>
          <w:tblCellMar>
            <w:top w:w="0" w:type="dxa"/>
            <w:left w:w="0" w:type="dxa"/>
            <w:bottom w:w="0" w:type="dxa"/>
            <w:right w:w="0" w:type="dxa"/>
          </w:tblCellMar>
        </w:tblPrEx>
        <w:trPr>
          <w:trHeight w:val="363" w:hRule="atLeast"/>
        </w:trPr>
        <w:tc>
          <w:tcPr>
            <w:tcW w:w="14570" w:type="dxa"/>
            <w:gridSpan w:val="9"/>
            <w:tcBorders>
              <w:top w:val="nil"/>
              <w:left w:val="nil"/>
              <w:bottom w:val="nil"/>
              <w:right w:val="nil"/>
            </w:tcBorders>
            <w:shd w:val="clear" w:color="000000" w:fill="FFFFFF"/>
            <w:tcMar>
              <w:top w:w="10" w:type="dxa"/>
              <w:left w:w="10" w:type="dxa"/>
              <w:right w:w="10" w:type="dxa"/>
            </w:tcMar>
            <w:vAlign w:val="center"/>
          </w:tcPr>
          <w:p>
            <w:pPr>
              <w:widowControl/>
              <w:jc w:val="right"/>
              <w:textAlignment w:val="center"/>
              <w:rPr>
                <w:rFonts w:ascii="仿宋_GB2312" w:hAnsi="宋体" w:eastAsia="仿宋_GB2312" w:cs="宋体"/>
                <w:kern w:val="0"/>
                <w:szCs w:val="21"/>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510" w:hRule="atLeast"/>
        </w:trPr>
        <w:tc>
          <w:tcPr>
            <w:tcW w:w="1344" w:type="dxa"/>
            <w:gridSpan w:val="2"/>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科目编码</w:t>
            </w:r>
          </w:p>
        </w:tc>
        <w:tc>
          <w:tcPr>
            <w:tcW w:w="2934"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部门预算支出经济分类科目名称</w:t>
            </w:r>
          </w:p>
        </w:tc>
        <w:tc>
          <w:tcPr>
            <w:tcW w:w="1393" w:type="dxa"/>
            <w:gridSpan w:val="2"/>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科目编码</w:t>
            </w:r>
          </w:p>
        </w:tc>
        <w:tc>
          <w:tcPr>
            <w:tcW w:w="3881" w:type="dxa"/>
            <w:vMerge w:val="restart"/>
            <w:tcBorders>
              <w:top w:val="single" w:color="auto" w:sz="4" w:space="0"/>
              <w:left w:val="nil"/>
              <w:right w:val="single" w:color="000000" w:sz="4" w:space="0"/>
            </w:tcBorders>
            <w:shd w:val="clear" w:color="000000" w:fill="FFFFFF"/>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政府预算支出经济分类科目名称</w:t>
            </w:r>
          </w:p>
        </w:tc>
        <w:tc>
          <w:tcPr>
            <w:tcW w:w="5018" w:type="dxa"/>
            <w:gridSpan w:val="3"/>
            <w:tcBorders>
              <w:top w:val="single" w:color="auto" w:sz="4" w:space="0"/>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基本支出预算</w:t>
            </w:r>
          </w:p>
        </w:tc>
      </w:tr>
      <w:tr>
        <w:tblPrEx>
          <w:tblCellMar>
            <w:top w:w="0" w:type="dxa"/>
            <w:left w:w="0" w:type="dxa"/>
            <w:bottom w:w="0" w:type="dxa"/>
            <w:right w:w="0" w:type="dxa"/>
          </w:tblCellMar>
        </w:tblPrEx>
        <w:trPr>
          <w:trHeight w:val="43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类</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款</w:t>
            </w:r>
          </w:p>
        </w:tc>
        <w:tc>
          <w:tcPr>
            <w:tcW w:w="2934"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类</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sz w:val="18"/>
                <w:szCs w:val="18"/>
              </w:rPr>
              <w:t>款</w:t>
            </w:r>
          </w:p>
        </w:tc>
        <w:tc>
          <w:tcPr>
            <w:tcW w:w="3881" w:type="dxa"/>
            <w:vMerge w:val="continue"/>
            <w:tcBorders>
              <w:left w:val="nil"/>
              <w:bottom w:val="single" w:color="auto" w:sz="4" w:space="0"/>
              <w:right w:val="single" w:color="000000"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p>
        </w:tc>
        <w:tc>
          <w:tcPr>
            <w:tcW w:w="1670" w:type="dxa"/>
            <w:tcBorders>
              <w:top w:val="nil"/>
              <w:left w:val="single" w:color="000000"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人员支出</w:t>
            </w: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日常公用支出</w:t>
            </w:r>
          </w:p>
        </w:tc>
      </w:tr>
      <w:tr>
        <w:tblPrEx>
          <w:tblCellMar>
            <w:top w:w="0" w:type="dxa"/>
            <w:left w:w="0" w:type="dxa"/>
            <w:bottom w:w="0" w:type="dxa"/>
            <w:right w:w="0" w:type="dxa"/>
          </w:tblCellMar>
        </w:tblPrEx>
        <w:trPr>
          <w:trHeight w:val="375" w:hRule="atLeast"/>
        </w:trPr>
        <w:tc>
          <w:tcPr>
            <w:tcW w:w="9552" w:type="dxa"/>
            <w:gridSpan w:val="6"/>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合    计</w:t>
            </w: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75" w:hRule="atLeast"/>
        </w:trPr>
        <w:tc>
          <w:tcPr>
            <w:tcW w:w="685" w:type="dxa"/>
            <w:tcBorders>
              <w:top w:val="nil"/>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59"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2934"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685"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70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r>
              <w:rPr>
                <w:rFonts w:hint="eastAsia" w:ascii="仿宋_GB2312" w:hAnsi="仿宋_GB2312" w:eastAsia="仿宋_GB2312" w:cs="仿宋_GB2312"/>
                <w:color w:val="000000"/>
                <w:kern w:val="0"/>
                <w:sz w:val="18"/>
                <w:szCs w:val="18"/>
                <w:lang w:bidi="ar"/>
              </w:rPr>
              <w:t>　</w:t>
            </w:r>
          </w:p>
        </w:tc>
        <w:tc>
          <w:tcPr>
            <w:tcW w:w="3881"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0"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678" w:type="dxa"/>
            <w:tcBorders>
              <w:top w:val="nil"/>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bl>
    <w:p>
      <w:pPr>
        <w:jc w:val="left"/>
        <w:rPr>
          <w:rFonts w:ascii="仿宋_GB2312" w:eastAsia="仿宋_GB2312"/>
          <w:b/>
          <w:szCs w:val="21"/>
          <w:highlight w:val="none"/>
        </w:rPr>
      </w:pPr>
      <w:r>
        <w:rPr>
          <w:rFonts w:hint="eastAsia" w:ascii="仿宋_GB2312" w:eastAsia="仿宋_GB2312"/>
          <w:b/>
          <w:szCs w:val="21"/>
          <w:highlight w:val="none"/>
        </w:rPr>
        <w:t>注：</w:t>
      </w:r>
      <w:r>
        <w:rPr>
          <w:rFonts w:hint="eastAsia" w:ascii="仿宋_GB2312" w:eastAsia="仿宋_GB2312"/>
          <w:b/>
          <w:szCs w:val="21"/>
          <w:highlight w:val="none"/>
          <w:lang w:val="en-US" w:eastAsia="zh-CN"/>
        </w:rPr>
        <w:t>招远市审计局</w:t>
      </w:r>
      <w:r>
        <w:rPr>
          <w:rFonts w:hint="eastAsia" w:ascii="仿宋_GB2312" w:eastAsia="仿宋_GB2312"/>
          <w:b/>
          <w:szCs w:val="21"/>
          <w:highlight w:val="none"/>
        </w:rPr>
        <w:t>部门202</w:t>
      </w:r>
      <w:r>
        <w:rPr>
          <w:rFonts w:ascii="仿宋_GB2312" w:eastAsia="仿宋_GB2312"/>
          <w:b/>
          <w:szCs w:val="21"/>
          <w:highlight w:val="none"/>
        </w:rPr>
        <w:t>2</w:t>
      </w:r>
      <w:r>
        <w:rPr>
          <w:rFonts w:hint="eastAsia" w:ascii="仿宋_GB2312" w:eastAsia="仿宋_GB2312"/>
          <w:b/>
          <w:szCs w:val="21"/>
          <w:highlight w:val="none"/>
        </w:rPr>
        <w:t>年没有使用政府性基金预算拨款安排的支出。</w:t>
      </w:r>
    </w:p>
    <w:p>
      <w:pPr>
        <w:widowControl/>
        <w:jc w:val="left"/>
        <w:rPr>
          <w:rFonts w:ascii="宋体" w:hAnsi="宋体"/>
          <w:b/>
          <w:szCs w:val="21"/>
        </w:rPr>
      </w:pPr>
      <w:r>
        <w:rPr>
          <w:rFonts w:ascii="仿宋_GB2312" w:eastAsia="仿宋_GB2312"/>
          <w:b/>
          <w:sz w:val="30"/>
          <w:szCs w:val="30"/>
        </w:rPr>
        <w:br w:type="page"/>
      </w:r>
    </w:p>
    <w:tbl>
      <w:tblPr>
        <w:tblStyle w:val="9"/>
        <w:tblW w:w="14570" w:type="dxa"/>
        <w:tblInd w:w="0" w:type="dxa"/>
        <w:tblLayout w:type="fixed"/>
        <w:tblCellMar>
          <w:top w:w="0" w:type="dxa"/>
          <w:left w:w="0" w:type="dxa"/>
          <w:bottom w:w="0" w:type="dxa"/>
          <w:right w:w="0" w:type="dxa"/>
        </w:tblCellMar>
      </w:tblPr>
      <w:tblGrid>
        <w:gridCol w:w="953"/>
        <w:gridCol w:w="953"/>
        <w:gridCol w:w="956"/>
        <w:gridCol w:w="3054"/>
        <w:gridCol w:w="1667"/>
        <w:gridCol w:w="1789"/>
        <w:gridCol w:w="1789"/>
        <w:gridCol w:w="1789"/>
        <w:gridCol w:w="1620"/>
      </w:tblGrid>
      <w:tr>
        <w:tblPrEx>
          <w:tblCellMar>
            <w:top w:w="0" w:type="dxa"/>
            <w:left w:w="0" w:type="dxa"/>
            <w:bottom w:w="0" w:type="dxa"/>
            <w:right w:w="0" w:type="dxa"/>
          </w:tblCellMar>
        </w:tblPrEx>
        <w:trPr>
          <w:trHeight w:val="450" w:hRule="atLeast"/>
          <w:tblHeader/>
        </w:trPr>
        <w:tc>
          <w:tcPr>
            <w:tcW w:w="14570" w:type="dxa"/>
            <w:gridSpan w:val="9"/>
            <w:tcBorders>
              <w:top w:val="nil"/>
              <w:left w:val="nil"/>
              <w:bottom w:val="nil"/>
              <w:right w:val="nil"/>
            </w:tcBorders>
            <w:shd w:val="clear" w:color="auto" w:fill="FFFFFF"/>
            <w:tcMar>
              <w:top w:w="15" w:type="dxa"/>
              <w:left w:w="15" w:type="dxa"/>
              <w:right w:w="15" w:type="dxa"/>
            </w:tcMar>
            <w:vAlign w:val="center"/>
          </w:tcPr>
          <w:p>
            <w:pPr>
              <w:jc w:val="right"/>
              <w:rPr>
                <w:rFonts w:ascii="黑体" w:hAnsi="黑体" w:eastAsia="黑体"/>
                <w:bCs/>
                <w:szCs w:val="21"/>
              </w:rPr>
            </w:pPr>
            <w:r>
              <w:rPr>
                <w:rFonts w:hint="eastAsia" w:ascii="黑体" w:hAnsi="黑体" w:eastAsia="黑体"/>
                <w:bCs/>
                <w:szCs w:val="21"/>
              </w:rPr>
              <w:t>部门公开表</w:t>
            </w:r>
            <w:r>
              <w:rPr>
                <w:rFonts w:ascii="黑体" w:hAnsi="黑体" w:eastAsia="黑体"/>
                <w:bCs/>
                <w:szCs w:val="21"/>
              </w:rPr>
              <w:t>10</w:t>
            </w:r>
          </w:p>
          <w:p>
            <w:pPr>
              <w:jc w:val="center"/>
              <w:rPr>
                <w:rFonts w:ascii="黑体" w:hAnsi="黑体" w:eastAsia="黑体"/>
                <w:bCs/>
                <w:sz w:val="28"/>
                <w:szCs w:val="28"/>
              </w:rPr>
            </w:pPr>
            <w:r>
              <w:rPr>
                <w:rFonts w:hint="eastAsia" w:ascii="黑体" w:hAnsi="黑体" w:eastAsia="黑体"/>
                <w:bCs/>
                <w:sz w:val="28"/>
                <w:szCs w:val="28"/>
              </w:rPr>
              <w:t>国有资本经营预算支出表</w:t>
            </w:r>
          </w:p>
          <w:p>
            <w:pPr>
              <w:widowControl/>
              <w:jc w:val="right"/>
              <w:textAlignment w:val="center"/>
              <w:rPr>
                <w:rFonts w:ascii="宋体" w:hAnsi="宋体" w:cs="宋体"/>
                <w:color w:val="000000"/>
                <w:sz w:val="20"/>
                <w:szCs w:val="20"/>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584" w:hRule="atLeast"/>
          <w:tblHeader/>
        </w:trPr>
        <w:tc>
          <w:tcPr>
            <w:tcW w:w="286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科目编码</w:t>
            </w:r>
          </w:p>
        </w:tc>
        <w:tc>
          <w:tcPr>
            <w:tcW w:w="3054"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科目名称</w:t>
            </w:r>
          </w:p>
        </w:tc>
        <w:tc>
          <w:tcPr>
            <w:tcW w:w="1667"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合计</w:t>
            </w:r>
          </w:p>
        </w:tc>
        <w:tc>
          <w:tcPr>
            <w:tcW w:w="5367"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基本支出</w:t>
            </w:r>
          </w:p>
        </w:tc>
        <w:tc>
          <w:tcPr>
            <w:tcW w:w="162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项目支出</w:t>
            </w:r>
          </w:p>
        </w:tc>
      </w:tr>
      <w:tr>
        <w:tblPrEx>
          <w:tblCellMar>
            <w:top w:w="0" w:type="dxa"/>
            <w:left w:w="0" w:type="dxa"/>
            <w:bottom w:w="0" w:type="dxa"/>
            <w:right w:w="0" w:type="dxa"/>
          </w:tblCellMar>
        </w:tblPrEx>
        <w:trPr>
          <w:trHeight w:val="499" w:hRule="atLeast"/>
          <w:tblHeader/>
        </w:trPr>
        <w:tc>
          <w:tcPr>
            <w:tcW w:w="95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类</w:t>
            </w:r>
          </w:p>
        </w:tc>
        <w:tc>
          <w:tcPr>
            <w:tcW w:w="953"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款</w:t>
            </w:r>
          </w:p>
        </w:tc>
        <w:tc>
          <w:tcPr>
            <w:tcW w:w="956"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项</w:t>
            </w:r>
          </w:p>
        </w:tc>
        <w:tc>
          <w:tcPr>
            <w:tcW w:w="305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6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小计</w:t>
            </w: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人员支出</w:t>
            </w:r>
          </w:p>
        </w:tc>
        <w:tc>
          <w:tcPr>
            <w:tcW w:w="1789"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黑体" w:hAnsi="黑体" w:eastAsia="黑体" w:cs="宋体"/>
                <w:color w:val="000000"/>
                <w:sz w:val="18"/>
                <w:szCs w:val="18"/>
              </w:rPr>
            </w:pPr>
            <w:r>
              <w:rPr>
                <w:rFonts w:hint="eastAsia" w:ascii="黑体" w:hAnsi="黑体" w:eastAsia="黑体" w:cs="宋体"/>
                <w:color w:val="000000"/>
                <w:kern w:val="0"/>
                <w:sz w:val="18"/>
                <w:szCs w:val="18"/>
                <w:lang w:bidi="ar"/>
              </w:rPr>
              <w:t>日常公用支出</w:t>
            </w: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r>
      <w:tr>
        <w:tblPrEx>
          <w:tblCellMar>
            <w:top w:w="0" w:type="dxa"/>
            <w:left w:w="0" w:type="dxa"/>
            <w:bottom w:w="0" w:type="dxa"/>
            <w:right w:w="0" w:type="dxa"/>
          </w:tblCellMar>
        </w:tblPrEx>
        <w:trPr>
          <w:trHeight w:val="312" w:hRule="atLeast"/>
          <w:tblHeader/>
        </w:trPr>
        <w:tc>
          <w:tcPr>
            <w:tcW w:w="95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953"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956"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3054"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67"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789"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c>
          <w:tcPr>
            <w:tcW w:w="1620"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黑体" w:hAnsi="黑体" w:eastAsia="黑体" w:cs="宋体"/>
                <w:color w:val="000000"/>
                <w:sz w:val="18"/>
                <w:szCs w:val="18"/>
              </w:rPr>
            </w:pPr>
          </w:p>
        </w:tc>
      </w:tr>
      <w:tr>
        <w:tblPrEx>
          <w:tblCellMar>
            <w:top w:w="0" w:type="dxa"/>
            <w:left w:w="0" w:type="dxa"/>
            <w:bottom w:w="0" w:type="dxa"/>
            <w:right w:w="0" w:type="dxa"/>
          </w:tblCellMar>
        </w:tblPrEx>
        <w:trPr>
          <w:trHeight w:val="499" w:hRule="atLeast"/>
        </w:trPr>
        <w:tc>
          <w:tcPr>
            <w:tcW w:w="591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仿宋_GB2312" w:hAnsi="宋体" w:eastAsia="仿宋_GB2312" w:cs="宋体"/>
                <w:color w:val="000000"/>
                <w:sz w:val="18"/>
                <w:szCs w:val="18"/>
              </w:rPr>
            </w:pPr>
            <w:r>
              <w:rPr>
                <w:rFonts w:hint="eastAsia" w:ascii="仿宋_GB2312" w:hAnsi="宋体" w:eastAsia="仿宋_GB2312" w:cs="宋体"/>
                <w:color w:val="000000"/>
                <w:kern w:val="0"/>
                <w:sz w:val="18"/>
                <w:szCs w:val="18"/>
                <w:lang w:bidi="ar"/>
              </w:rPr>
              <w:t>合    计</w:t>
            </w: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ascii="仿宋_GB2312" w:hAnsi="宋体" w:eastAsia="仿宋_GB2312" w:cs="宋体"/>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r>
        <w:tblPrEx>
          <w:tblCellMar>
            <w:top w:w="0" w:type="dxa"/>
            <w:left w:w="0" w:type="dxa"/>
            <w:bottom w:w="0" w:type="dxa"/>
            <w:right w:w="0" w:type="dxa"/>
          </w:tblCellMar>
        </w:tblPrEx>
        <w:trPr>
          <w:trHeight w:val="499" w:hRule="atLeast"/>
        </w:trPr>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95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305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left"/>
              <w:rPr>
                <w:rFonts w:ascii="仿宋_GB2312" w:hAnsi="Arial" w:eastAsia="仿宋_GB2312" w:cs="Arial"/>
                <w:color w:val="000000"/>
                <w:sz w:val="18"/>
                <w:szCs w:val="18"/>
              </w:rPr>
            </w:pPr>
          </w:p>
        </w:tc>
        <w:tc>
          <w:tcPr>
            <w:tcW w:w="1667" w:type="dxa"/>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789"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c>
          <w:tcPr>
            <w:tcW w:w="16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_GB2312" w:hAnsi="宋体" w:eastAsia="仿宋_GB2312" w:cs="宋体"/>
                <w:color w:val="000000"/>
                <w:sz w:val="18"/>
                <w:szCs w:val="18"/>
              </w:rPr>
            </w:pPr>
          </w:p>
        </w:tc>
      </w:tr>
    </w:tbl>
    <w:p>
      <w:pPr>
        <w:widowControl/>
        <w:jc w:val="left"/>
        <w:rPr>
          <w:rFonts w:hint="eastAsia" w:ascii="仿宋_GB2312" w:eastAsia="仿宋_GB2312"/>
          <w:b/>
          <w:szCs w:val="21"/>
          <w:highlight w:val="none"/>
        </w:rPr>
      </w:pPr>
      <w:r>
        <w:rPr>
          <w:rFonts w:hint="eastAsia" w:ascii="仿宋_GB2312" w:eastAsia="仿宋_GB2312"/>
          <w:b/>
          <w:szCs w:val="21"/>
          <w:highlight w:val="none"/>
        </w:rPr>
        <w:t>注：</w:t>
      </w:r>
      <w:r>
        <w:rPr>
          <w:rFonts w:hint="eastAsia" w:ascii="仿宋_GB2312" w:eastAsia="仿宋_GB2312"/>
          <w:b/>
          <w:szCs w:val="21"/>
          <w:highlight w:val="none"/>
          <w:lang w:val="en-US" w:eastAsia="zh-CN"/>
        </w:rPr>
        <w:t>招远市审计局</w:t>
      </w:r>
      <w:r>
        <w:rPr>
          <w:rFonts w:hint="eastAsia" w:ascii="仿宋_GB2312" w:eastAsia="仿宋_GB2312"/>
          <w:b/>
          <w:szCs w:val="21"/>
          <w:highlight w:val="none"/>
        </w:rPr>
        <w:t>部门202</w:t>
      </w:r>
      <w:r>
        <w:rPr>
          <w:rFonts w:ascii="仿宋_GB2312" w:eastAsia="仿宋_GB2312"/>
          <w:b/>
          <w:szCs w:val="21"/>
          <w:highlight w:val="none"/>
        </w:rPr>
        <w:t>2</w:t>
      </w:r>
      <w:r>
        <w:rPr>
          <w:rFonts w:hint="eastAsia" w:ascii="仿宋_GB2312" w:eastAsia="仿宋_GB2312"/>
          <w:b/>
          <w:szCs w:val="21"/>
          <w:highlight w:val="none"/>
        </w:rPr>
        <w:t>年没有使用国有资本经营预算拨款安排的支出。</w:t>
      </w:r>
    </w:p>
    <w:p>
      <w:pPr>
        <w:widowControl/>
        <w:jc w:val="left"/>
        <w:rPr>
          <w:rFonts w:hint="eastAsia" w:ascii="仿宋_GB2312" w:eastAsia="仿宋_GB2312"/>
          <w:b/>
          <w:szCs w:val="21"/>
          <w:highlight w:val="yellow"/>
        </w:rPr>
      </w:pPr>
    </w:p>
    <w:p>
      <w:pPr>
        <w:widowControl/>
        <w:jc w:val="left"/>
        <w:rPr>
          <w:rFonts w:hint="eastAsia" w:ascii="仿宋_GB2312" w:eastAsia="仿宋_GB2312"/>
          <w:b/>
          <w:szCs w:val="21"/>
          <w:highlight w:val="yellow"/>
        </w:rPr>
      </w:pPr>
    </w:p>
    <w:p>
      <w:pPr>
        <w:widowControl/>
        <w:jc w:val="left"/>
        <w:rPr>
          <w:rFonts w:hint="eastAsia" w:ascii="仿宋_GB2312" w:eastAsia="仿宋_GB2312"/>
          <w:b/>
          <w:szCs w:val="21"/>
          <w:highlight w:val="yellow"/>
        </w:rPr>
      </w:pPr>
    </w:p>
    <w:tbl>
      <w:tblPr>
        <w:tblStyle w:val="9"/>
        <w:tblW w:w="14570" w:type="dxa"/>
        <w:tblInd w:w="0" w:type="dxa"/>
        <w:tblLayout w:type="fixed"/>
        <w:tblCellMar>
          <w:top w:w="0" w:type="dxa"/>
          <w:left w:w="0" w:type="dxa"/>
          <w:bottom w:w="0" w:type="dxa"/>
          <w:right w:w="0" w:type="dxa"/>
        </w:tblCellMar>
      </w:tblPr>
      <w:tblGrid>
        <w:gridCol w:w="600"/>
        <w:gridCol w:w="600"/>
        <w:gridCol w:w="606"/>
        <w:gridCol w:w="1107"/>
        <w:gridCol w:w="1084"/>
        <w:gridCol w:w="1303"/>
        <w:gridCol w:w="1303"/>
        <w:gridCol w:w="1303"/>
        <w:gridCol w:w="1352"/>
        <w:gridCol w:w="1151"/>
        <w:gridCol w:w="1151"/>
        <w:gridCol w:w="1157"/>
        <w:gridCol w:w="848"/>
        <w:gridCol w:w="1005"/>
      </w:tblGrid>
      <w:tr>
        <w:tblPrEx>
          <w:tblCellMar>
            <w:top w:w="0" w:type="dxa"/>
            <w:left w:w="0" w:type="dxa"/>
            <w:bottom w:w="0" w:type="dxa"/>
            <w:right w:w="0" w:type="dxa"/>
          </w:tblCellMar>
        </w:tblPrEx>
        <w:trPr>
          <w:trHeight w:val="480" w:hRule="atLeast"/>
        </w:trPr>
        <w:tc>
          <w:tcPr>
            <w:tcW w:w="14570" w:type="dxa"/>
            <w:gridSpan w:val="14"/>
            <w:tcBorders>
              <w:top w:val="nil"/>
              <w:left w:val="nil"/>
              <w:bottom w:val="nil"/>
              <w:right w:val="nil"/>
            </w:tcBorders>
            <w:shd w:val="clear" w:color="000000" w:fill="FFFFFF"/>
            <w:tcMar>
              <w:top w:w="10" w:type="dxa"/>
              <w:left w:w="10" w:type="dxa"/>
              <w:right w:w="10" w:type="dxa"/>
            </w:tcMar>
            <w:vAlign w:val="center"/>
          </w:tcPr>
          <w:p>
            <w:pPr>
              <w:jc w:val="right"/>
              <w:rPr>
                <w:rFonts w:ascii="宋体" w:hAnsi="宋体" w:cs="宋体"/>
                <w:color w:val="000000"/>
                <w:sz w:val="18"/>
                <w:szCs w:val="18"/>
              </w:rPr>
            </w:pPr>
            <w:bookmarkStart w:id="3" w:name="_Hlk95413875"/>
            <w:r>
              <w:rPr>
                <w:rFonts w:hint="eastAsia" w:ascii="黑体" w:hAnsi="黑体" w:eastAsia="黑体"/>
                <w:bCs/>
                <w:szCs w:val="21"/>
              </w:rPr>
              <w:t>部门公开表</w:t>
            </w:r>
            <w:r>
              <w:rPr>
                <w:rFonts w:ascii="黑体" w:hAnsi="黑体" w:eastAsia="黑体"/>
                <w:bCs/>
                <w:szCs w:val="21"/>
              </w:rPr>
              <w:t>11</w:t>
            </w:r>
          </w:p>
        </w:tc>
      </w:tr>
      <w:tr>
        <w:tblPrEx>
          <w:tblCellMar>
            <w:top w:w="0" w:type="dxa"/>
            <w:left w:w="0" w:type="dxa"/>
            <w:bottom w:w="0" w:type="dxa"/>
            <w:right w:w="0" w:type="dxa"/>
          </w:tblCellMar>
        </w:tblPrEx>
        <w:trPr>
          <w:trHeight w:val="510" w:hRule="atLeast"/>
        </w:trPr>
        <w:tc>
          <w:tcPr>
            <w:tcW w:w="14570" w:type="dxa"/>
            <w:gridSpan w:val="14"/>
            <w:tcBorders>
              <w:top w:val="nil"/>
              <w:left w:val="nil"/>
              <w:bottom w:val="nil"/>
              <w:right w:val="nil"/>
            </w:tcBorders>
            <w:shd w:val="clear" w:color="000000" w:fill="FFFFFF"/>
            <w:tcMar>
              <w:top w:w="10" w:type="dxa"/>
              <w:left w:w="10" w:type="dxa"/>
              <w:right w:w="10" w:type="dxa"/>
            </w:tcMar>
            <w:vAlign w:val="center"/>
          </w:tcPr>
          <w:p>
            <w:pPr>
              <w:widowControl/>
              <w:jc w:val="center"/>
              <w:textAlignment w:val="center"/>
              <w:rPr>
                <w:rFonts w:ascii="宋体" w:hAnsi="宋体" w:cs="宋体"/>
                <w:b/>
                <w:color w:val="000000"/>
                <w:sz w:val="36"/>
                <w:szCs w:val="36"/>
              </w:rPr>
            </w:pPr>
            <w:r>
              <w:rPr>
                <w:rFonts w:hint="eastAsia" w:ascii="黑体" w:hAnsi="黑体" w:eastAsia="黑体"/>
                <w:bCs/>
                <w:sz w:val="28"/>
                <w:szCs w:val="28"/>
              </w:rPr>
              <w:t>政府采购预算表</w:t>
            </w:r>
          </w:p>
        </w:tc>
      </w:tr>
      <w:tr>
        <w:tblPrEx>
          <w:tblCellMar>
            <w:top w:w="0" w:type="dxa"/>
            <w:left w:w="0" w:type="dxa"/>
            <w:bottom w:w="0" w:type="dxa"/>
            <w:right w:w="0" w:type="dxa"/>
          </w:tblCellMar>
        </w:tblPrEx>
        <w:trPr>
          <w:trHeight w:val="525" w:hRule="atLeast"/>
        </w:trPr>
        <w:tc>
          <w:tcPr>
            <w:tcW w:w="14570" w:type="dxa"/>
            <w:gridSpan w:val="14"/>
            <w:tcBorders>
              <w:top w:val="nil"/>
              <w:left w:val="nil"/>
              <w:bottom w:val="single" w:color="auto" w:sz="4" w:space="0"/>
              <w:right w:val="nil"/>
            </w:tcBorders>
            <w:shd w:val="clear" w:color="000000" w:fill="FFFFFF"/>
            <w:tcMar>
              <w:top w:w="10" w:type="dxa"/>
              <w:left w:w="10" w:type="dxa"/>
              <w:right w:w="10" w:type="dxa"/>
            </w:tcMar>
            <w:vAlign w:val="center"/>
          </w:tcPr>
          <w:p>
            <w:pPr>
              <w:widowControl/>
              <w:jc w:val="right"/>
              <w:textAlignment w:val="center"/>
              <w:rPr>
                <w:rFonts w:ascii="宋体" w:hAnsi="宋体" w:cs="宋体"/>
                <w:color w:val="000000"/>
                <w:sz w:val="18"/>
                <w:szCs w:val="18"/>
              </w:rPr>
            </w:pPr>
            <w:r>
              <w:rPr>
                <w:rFonts w:hint="eastAsia" w:ascii="宋体" w:hAnsi="宋体" w:cs="宋体"/>
                <w:color w:val="000000"/>
                <w:kern w:val="0"/>
                <w:sz w:val="18"/>
                <w:szCs w:val="18"/>
                <w:lang w:bidi="ar"/>
              </w:rPr>
              <w:t>单位：万元</w:t>
            </w:r>
          </w:p>
        </w:tc>
      </w:tr>
      <w:tr>
        <w:tblPrEx>
          <w:tblCellMar>
            <w:top w:w="0" w:type="dxa"/>
            <w:left w:w="0" w:type="dxa"/>
            <w:bottom w:w="0" w:type="dxa"/>
            <w:right w:w="0" w:type="dxa"/>
          </w:tblCellMar>
        </w:tblPrEx>
        <w:trPr>
          <w:trHeight w:val="398" w:hRule="atLeast"/>
        </w:trPr>
        <w:tc>
          <w:tcPr>
            <w:tcW w:w="1806" w:type="dxa"/>
            <w:gridSpan w:val="3"/>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科目编码</w:t>
            </w:r>
          </w:p>
        </w:tc>
        <w:tc>
          <w:tcPr>
            <w:tcW w:w="1107"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科目名称</w:t>
            </w:r>
          </w:p>
        </w:tc>
        <w:tc>
          <w:tcPr>
            <w:tcW w:w="11657" w:type="dxa"/>
            <w:gridSpan w:val="10"/>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资     金     来     源</w:t>
            </w:r>
          </w:p>
        </w:tc>
      </w:tr>
      <w:tr>
        <w:tblPrEx>
          <w:tblCellMar>
            <w:top w:w="0" w:type="dxa"/>
            <w:left w:w="0" w:type="dxa"/>
            <w:bottom w:w="0" w:type="dxa"/>
            <w:right w:w="0" w:type="dxa"/>
          </w:tblCellMar>
        </w:tblPrEx>
        <w:trPr>
          <w:trHeight w:val="398" w:hRule="atLeast"/>
        </w:trPr>
        <w:tc>
          <w:tcPr>
            <w:tcW w:w="600"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类</w:t>
            </w:r>
          </w:p>
        </w:tc>
        <w:tc>
          <w:tcPr>
            <w:tcW w:w="600"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款</w:t>
            </w:r>
          </w:p>
        </w:tc>
        <w:tc>
          <w:tcPr>
            <w:tcW w:w="606"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w:t>
            </w:r>
          </w:p>
        </w:tc>
        <w:tc>
          <w:tcPr>
            <w:tcW w:w="1107"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084"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合计</w:t>
            </w:r>
          </w:p>
        </w:tc>
        <w:tc>
          <w:tcPr>
            <w:tcW w:w="5261" w:type="dxa"/>
            <w:gridSpan w:val="4"/>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财政拨款</w:t>
            </w:r>
          </w:p>
        </w:tc>
        <w:tc>
          <w:tcPr>
            <w:tcW w:w="115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财政专户管理资金</w:t>
            </w:r>
          </w:p>
        </w:tc>
        <w:tc>
          <w:tcPr>
            <w:tcW w:w="115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单位资金</w:t>
            </w:r>
          </w:p>
        </w:tc>
        <w:tc>
          <w:tcPr>
            <w:tcW w:w="1157"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使用非财政拨款结余</w:t>
            </w:r>
          </w:p>
        </w:tc>
        <w:tc>
          <w:tcPr>
            <w:tcW w:w="1853" w:type="dxa"/>
            <w:gridSpan w:val="2"/>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上年结转</w:t>
            </w:r>
          </w:p>
        </w:tc>
      </w:tr>
      <w:tr>
        <w:tblPrEx>
          <w:tblCellMar>
            <w:top w:w="0" w:type="dxa"/>
            <w:left w:w="0" w:type="dxa"/>
            <w:bottom w:w="0" w:type="dxa"/>
            <w:right w:w="0" w:type="dxa"/>
          </w:tblCellMar>
        </w:tblPrEx>
        <w:trPr>
          <w:trHeight w:val="638" w:hRule="atLeast"/>
        </w:trPr>
        <w:tc>
          <w:tcPr>
            <w:tcW w:w="600"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600"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606"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107"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084"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一般公共预算</w:t>
            </w: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政府性基金预算</w:t>
            </w:r>
          </w:p>
        </w:tc>
        <w:tc>
          <w:tcPr>
            <w:tcW w:w="1352"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国有资本经营预算</w:t>
            </w:r>
          </w:p>
        </w:tc>
        <w:tc>
          <w:tcPr>
            <w:tcW w:w="115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15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157"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848"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上年结转</w:t>
            </w:r>
          </w:p>
        </w:tc>
        <w:tc>
          <w:tcPr>
            <w:tcW w:w="1005"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其中：财政拨款结转</w:t>
            </w:r>
          </w:p>
        </w:tc>
      </w:tr>
      <w:tr>
        <w:tblPrEx>
          <w:tblCellMar>
            <w:top w:w="0" w:type="dxa"/>
            <w:left w:w="0" w:type="dxa"/>
            <w:bottom w:w="0" w:type="dxa"/>
            <w:right w:w="0" w:type="dxa"/>
          </w:tblCellMar>
        </w:tblPrEx>
        <w:trPr>
          <w:trHeight w:val="398" w:hRule="atLeast"/>
        </w:trPr>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6"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10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084"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52"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848"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005"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r>
      <w:tr>
        <w:tblPrEx>
          <w:tblCellMar>
            <w:top w:w="0" w:type="dxa"/>
            <w:left w:w="0" w:type="dxa"/>
            <w:bottom w:w="0" w:type="dxa"/>
            <w:right w:w="0" w:type="dxa"/>
          </w:tblCellMar>
        </w:tblPrEx>
        <w:trPr>
          <w:trHeight w:val="398" w:hRule="atLeast"/>
        </w:trPr>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6"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10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084"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52"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848"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005"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r>
      <w:tr>
        <w:tblPrEx>
          <w:tblCellMar>
            <w:top w:w="0" w:type="dxa"/>
            <w:left w:w="0" w:type="dxa"/>
            <w:bottom w:w="0" w:type="dxa"/>
            <w:right w:w="0" w:type="dxa"/>
          </w:tblCellMar>
        </w:tblPrEx>
        <w:trPr>
          <w:trHeight w:val="398" w:hRule="atLeast"/>
        </w:trPr>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6"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10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084"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52"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7"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848"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005"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r>
      <w:tr>
        <w:tblPrEx>
          <w:tblCellMar>
            <w:top w:w="0" w:type="dxa"/>
            <w:left w:w="0" w:type="dxa"/>
            <w:bottom w:w="0" w:type="dxa"/>
            <w:right w:w="0" w:type="dxa"/>
          </w:tblCellMar>
        </w:tblPrEx>
        <w:trPr>
          <w:trHeight w:val="398" w:hRule="atLeast"/>
        </w:trPr>
        <w:tc>
          <w:tcPr>
            <w:tcW w:w="600" w:type="dxa"/>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0"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606"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107"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left"/>
              <w:textAlignment w:val="center"/>
              <w:rPr>
                <w:rFonts w:ascii="宋体" w:hAnsi="宋体" w:cs="宋体"/>
                <w:color w:val="000000"/>
                <w:sz w:val="18"/>
                <w:szCs w:val="18"/>
              </w:rPr>
            </w:pPr>
          </w:p>
        </w:tc>
        <w:tc>
          <w:tcPr>
            <w:tcW w:w="1084"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03"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352"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1"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157"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848"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c>
          <w:tcPr>
            <w:tcW w:w="1005" w:type="dxa"/>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宋体" w:hAnsi="宋体" w:cs="宋体"/>
                <w:color w:val="000000"/>
                <w:sz w:val="18"/>
                <w:szCs w:val="18"/>
              </w:rPr>
            </w:pPr>
          </w:p>
        </w:tc>
      </w:tr>
    </w:tbl>
    <w:p>
      <w:pPr>
        <w:widowControl/>
        <w:jc w:val="left"/>
        <w:rPr>
          <w:rFonts w:hint="eastAsia" w:ascii="仿宋_GB2312" w:eastAsia="仿宋_GB2312"/>
          <w:b/>
          <w:szCs w:val="21"/>
          <w:highlight w:val="none"/>
        </w:rPr>
      </w:pPr>
      <w:r>
        <w:rPr>
          <w:rFonts w:hint="eastAsia" w:ascii="仿宋_GB2312" w:eastAsia="仿宋_GB2312"/>
          <w:b/>
          <w:szCs w:val="21"/>
          <w:highlight w:val="none"/>
        </w:rPr>
        <w:t>注：</w:t>
      </w:r>
      <w:r>
        <w:rPr>
          <w:rFonts w:hint="eastAsia" w:ascii="仿宋_GB2312" w:eastAsia="仿宋_GB2312"/>
          <w:b/>
          <w:szCs w:val="21"/>
          <w:highlight w:val="none"/>
          <w:lang w:val="en-US" w:eastAsia="zh-CN"/>
        </w:rPr>
        <w:t>招远市审计局</w:t>
      </w:r>
      <w:r>
        <w:rPr>
          <w:rFonts w:hint="eastAsia" w:ascii="仿宋_GB2312" w:eastAsia="仿宋_GB2312"/>
          <w:b/>
          <w:szCs w:val="21"/>
          <w:highlight w:val="none"/>
        </w:rPr>
        <w:t>部门202</w:t>
      </w:r>
      <w:r>
        <w:rPr>
          <w:rFonts w:ascii="仿宋_GB2312" w:eastAsia="仿宋_GB2312"/>
          <w:b/>
          <w:szCs w:val="21"/>
          <w:highlight w:val="none"/>
        </w:rPr>
        <w:t>2</w:t>
      </w:r>
      <w:r>
        <w:rPr>
          <w:rFonts w:hint="eastAsia" w:ascii="仿宋_GB2312" w:eastAsia="仿宋_GB2312"/>
          <w:b/>
          <w:szCs w:val="21"/>
          <w:highlight w:val="none"/>
        </w:rPr>
        <w:t>年没有</w:t>
      </w:r>
      <w:r>
        <w:rPr>
          <w:rFonts w:hint="eastAsia" w:ascii="仿宋_GB2312" w:eastAsia="仿宋_GB2312"/>
          <w:b/>
          <w:szCs w:val="21"/>
          <w:highlight w:val="none"/>
          <w:lang w:val="en-US" w:eastAsia="zh-CN"/>
        </w:rPr>
        <w:t>安排政府采购</w:t>
      </w:r>
      <w:r>
        <w:rPr>
          <w:rFonts w:hint="eastAsia" w:ascii="仿宋_GB2312" w:eastAsia="仿宋_GB2312"/>
          <w:b/>
          <w:szCs w:val="21"/>
          <w:highlight w:val="none"/>
        </w:rPr>
        <w:t>支出。</w:t>
      </w:r>
    </w:p>
    <w:p>
      <w:pPr>
        <w:jc w:val="left"/>
        <w:rPr>
          <w:rFonts w:ascii="楷体_GB2312" w:eastAsia="楷体_GB2312"/>
          <w:sz w:val="32"/>
          <w:szCs w:val="32"/>
        </w:rPr>
      </w:pPr>
    </w:p>
    <w:bookmarkEnd w:id="3"/>
    <w:p>
      <w:pPr>
        <w:jc w:val="center"/>
        <w:rPr>
          <w:rFonts w:ascii="仿宋_GB2312" w:eastAsia="仿宋_GB2312"/>
          <w:b/>
          <w:sz w:val="30"/>
          <w:szCs w:val="30"/>
        </w:rPr>
        <w:sectPr>
          <w:pgSz w:w="16838" w:h="11906" w:orient="landscape"/>
          <w:pgMar w:top="1701" w:right="1134" w:bottom="1701" w:left="1134" w:header="851" w:footer="992" w:gutter="0"/>
          <w:cols w:space="720" w:num="1"/>
          <w:docGrid w:type="linesAndChars" w:linePitch="312" w:charSpace="0"/>
        </w:sectPr>
      </w:pPr>
    </w:p>
    <w:tbl>
      <w:tblPr>
        <w:tblStyle w:val="9"/>
        <w:tblW w:w="14570" w:type="dxa"/>
        <w:tblInd w:w="0" w:type="dxa"/>
        <w:tblLayout w:type="fixed"/>
        <w:tblCellMar>
          <w:top w:w="0" w:type="dxa"/>
          <w:left w:w="0" w:type="dxa"/>
          <w:bottom w:w="0" w:type="dxa"/>
          <w:right w:w="0" w:type="dxa"/>
        </w:tblCellMar>
      </w:tblPr>
      <w:tblGrid>
        <w:gridCol w:w="777"/>
        <w:gridCol w:w="761"/>
        <w:gridCol w:w="2191"/>
        <w:gridCol w:w="1180"/>
        <w:gridCol w:w="1192"/>
        <w:gridCol w:w="1192"/>
        <w:gridCol w:w="1192"/>
        <w:gridCol w:w="1198"/>
        <w:gridCol w:w="1020"/>
        <w:gridCol w:w="1020"/>
        <w:gridCol w:w="1014"/>
        <w:gridCol w:w="851"/>
        <w:gridCol w:w="982"/>
      </w:tblGrid>
      <w:tr>
        <w:tblPrEx>
          <w:tblCellMar>
            <w:top w:w="0" w:type="dxa"/>
            <w:left w:w="0" w:type="dxa"/>
            <w:bottom w:w="0" w:type="dxa"/>
            <w:right w:w="0" w:type="dxa"/>
          </w:tblCellMar>
        </w:tblPrEx>
        <w:trPr>
          <w:trHeight w:val="340" w:hRule="atLeast"/>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pPr>
              <w:jc w:val="right"/>
              <w:rPr>
                <w:rFonts w:ascii="黑体" w:hAnsi="黑体" w:eastAsia="黑体"/>
                <w:bCs/>
                <w:szCs w:val="21"/>
              </w:rPr>
            </w:pPr>
            <w:r>
              <w:rPr>
                <w:rFonts w:hint="eastAsia" w:ascii="黑体" w:hAnsi="黑体" w:eastAsia="黑体"/>
                <w:bCs/>
                <w:szCs w:val="21"/>
              </w:rPr>
              <w:t>部门公开表</w:t>
            </w:r>
            <w:r>
              <w:rPr>
                <w:rFonts w:ascii="黑体" w:hAnsi="黑体" w:eastAsia="黑体"/>
                <w:bCs/>
                <w:szCs w:val="21"/>
              </w:rPr>
              <w:t>12</w:t>
            </w:r>
          </w:p>
        </w:tc>
      </w:tr>
      <w:tr>
        <w:tblPrEx>
          <w:tblCellMar>
            <w:top w:w="0" w:type="dxa"/>
            <w:left w:w="0" w:type="dxa"/>
            <w:bottom w:w="0" w:type="dxa"/>
            <w:right w:w="0" w:type="dxa"/>
          </w:tblCellMar>
        </w:tblPrEx>
        <w:trPr>
          <w:trHeight w:val="645" w:hRule="atLeast"/>
        </w:trPr>
        <w:tc>
          <w:tcPr>
            <w:tcW w:w="14570" w:type="dxa"/>
            <w:gridSpan w:val="13"/>
            <w:tcBorders>
              <w:top w:val="nil"/>
              <w:left w:val="nil"/>
              <w:bottom w:val="nil"/>
              <w:right w:val="nil"/>
            </w:tcBorders>
            <w:shd w:val="clear" w:color="auto" w:fill="FFFFFF"/>
            <w:tcMar>
              <w:top w:w="15" w:type="dxa"/>
              <w:left w:w="15" w:type="dxa"/>
              <w:bottom w:w="0" w:type="dxa"/>
              <w:right w:w="15" w:type="dxa"/>
            </w:tcMar>
            <w:vAlign w:val="center"/>
          </w:tcPr>
          <w:p>
            <w:pPr>
              <w:widowControl/>
              <w:jc w:val="center"/>
              <w:textAlignment w:val="center"/>
              <w:rPr>
                <w:rFonts w:cs="Arial"/>
                <w:b/>
                <w:bCs/>
                <w:color w:val="000000"/>
                <w:sz w:val="36"/>
                <w:szCs w:val="36"/>
              </w:rPr>
            </w:pPr>
            <w:r>
              <w:rPr>
                <w:rFonts w:hint="eastAsia" w:ascii="黑体" w:hAnsi="黑体" w:eastAsia="黑体"/>
                <w:bCs/>
                <w:sz w:val="28"/>
                <w:szCs w:val="28"/>
              </w:rPr>
              <w:t>基本支出预算表</w:t>
            </w:r>
          </w:p>
        </w:tc>
      </w:tr>
      <w:tr>
        <w:tblPrEx>
          <w:tblCellMar>
            <w:top w:w="0" w:type="dxa"/>
            <w:left w:w="0" w:type="dxa"/>
            <w:bottom w:w="0" w:type="dxa"/>
            <w:right w:w="0" w:type="dxa"/>
          </w:tblCellMar>
        </w:tblPrEx>
        <w:trPr>
          <w:trHeight w:val="420" w:hRule="atLeast"/>
        </w:trPr>
        <w:tc>
          <w:tcPr>
            <w:tcW w:w="14570" w:type="dxa"/>
            <w:gridSpan w:val="13"/>
            <w:tcBorders>
              <w:top w:val="nil"/>
              <w:left w:val="nil"/>
              <w:bottom w:val="single" w:color="000000" w:sz="4" w:space="0"/>
              <w:right w:val="nil"/>
            </w:tcBorders>
            <w:shd w:val="clear" w:color="auto" w:fill="FFFFFF"/>
            <w:tcMar>
              <w:top w:w="15" w:type="dxa"/>
              <w:left w:w="15" w:type="dxa"/>
              <w:bottom w:w="0" w:type="dxa"/>
              <w:right w:w="15" w:type="dxa"/>
            </w:tcMar>
            <w:vAlign w:val="center"/>
          </w:tcPr>
          <w:p>
            <w:pPr>
              <w:widowControl/>
              <w:jc w:val="right"/>
              <w:textAlignment w:val="center"/>
              <w:rPr>
                <w:rFonts w:ascii="仿宋_GB2312" w:hAnsi="宋体" w:eastAsia="仿宋_GB2312" w:cs="宋体"/>
                <w:kern w:val="0"/>
                <w:szCs w:val="21"/>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420" w:hRule="atLeast"/>
        </w:trPr>
        <w:tc>
          <w:tcPr>
            <w:tcW w:w="1538" w:type="dxa"/>
            <w:gridSpan w:val="2"/>
            <w:vMerge w:val="restart"/>
            <w:tcBorders>
              <w:top w:val="single" w:color="000000" w:sz="4" w:space="0"/>
              <w:left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科目编码</w:t>
            </w:r>
          </w:p>
        </w:tc>
        <w:tc>
          <w:tcPr>
            <w:tcW w:w="2191"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部门预算支出经济分类科目</w:t>
            </w:r>
          </w:p>
        </w:tc>
        <w:tc>
          <w:tcPr>
            <w:tcW w:w="118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合计</w:t>
            </w:r>
          </w:p>
        </w:tc>
        <w:tc>
          <w:tcPr>
            <w:tcW w:w="4774"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财政拨款</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财政专户管理资金</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单位资金</w:t>
            </w:r>
          </w:p>
        </w:tc>
        <w:tc>
          <w:tcPr>
            <w:tcW w:w="1014" w:type="dxa"/>
            <w:vMerge w:val="restart"/>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使用非财政拨款结余</w:t>
            </w:r>
          </w:p>
        </w:tc>
        <w:tc>
          <w:tcPr>
            <w:tcW w:w="1833"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20"/>
                <w:szCs w:val="20"/>
              </w:rPr>
            </w:pPr>
            <w:r>
              <w:rPr>
                <w:rFonts w:hint="eastAsia" w:ascii="黑体" w:hAnsi="黑体" w:eastAsia="黑体" w:cs="Arial"/>
                <w:color w:val="000000"/>
                <w:sz w:val="20"/>
                <w:szCs w:val="20"/>
              </w:rPr>
              <w:t>上年结转</w:t>
            </w:r>
          </w:p>
        </w:tc>
      </w:tr>
      <w:tr>
        <w:tblPrEx>
          <w:tblCellMar>
            <w:top w:w="0" w:type="dxa"/>
            <w:left w:w="0" w:type="dxa"/>
            <w:bottom w:w="0" w:type="dxa"/>
            <w:right w:w="0" w:type="dxa"/>
          </w:tblCellMar>
        </w:tblPrEx>
        <w:trPr>
          <w:trHeight w:val="259" w:hRule="atLeast"/>
        </w:trPr>
        <w:tc>
          <w:tcPr>
            <w:tcW w:w="1538" w:type="dxa"/>
            <w:gridSpan w:val="2"/>
            <w:vMerge w:val="continue"/>
            <w:tcBorders>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p>
        </w:tc>
        <w:tc>
          <w:tcPr>
            <w:tcW w:w="2191" w:type="dxa"/>
            <w:vMerge w:val="continue"/>
            <w:tcBorders>
              <w:left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p>
        </w:tc>
        <w:tc>
          <w:tcPr>
            <w:tcW w:w="11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小计</w:t>
            </w: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一般公共预算</w:t>
            </w: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政府性基金预算</w:t>
            </w: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国有资本经营预算</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14" w:type="dxa"/>
            <w:vMerge w:val="continue"/>
            <w:tcBorders>
              <w:top w:val="single" w:color="000000" w:sz="4" w:space="0"/>
              <w:left w:val="single" w:color="000000" w:sz="4" w:space="0"/>
              <w:bottom w:val="nil"/>
              <w:right w:val="single" w:color="000000" w:sz="4" w:space="0"/>
            </w:tcBorders>
            <w:vAlign w:val="center"/>
          </w:tcPr>
          <w:p>
            <w:pPr>
              <w:rPr>
                <w:rFonts w:ascii="黑体" w:hAnsi="黑体" w:eastAsia="黑体" w:cs="Arial"/>
                <w:color w:val="000000"/>
                <w:sz w:val="18"/>
                <w:szCs w:val="18"/>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20"/>
                <w:szCs w:val="20"/>
              </w:rPr>
            </w:pPr>
            <w:r>
              <w:rPr>
                <w:rFonts w:hint="eastAsia" w:ascii="黑体" w:hAnsi="黑体" w:eastAsia="黑体" w:cs="Arial"/>
                <w:color w:val="000000"/>
                <w:sz w:val="20"/>
                <w:szCs w:val="20"/>
              </w:rPr>
              <w:t>上年结转小计</w:t>
            </w:r>
          </w:p>
        </w:tc>
        <w:tc>
          <w:tcPr>
            <w:tcW w:w="982" w:type="dxa"/>
            <w:vMerge w:val="restart"/>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20"/>
                <w:szCs w:val="20"/>
              </w:rPr>
            </w:pPr>
            <w:r>
              <w:rPr>
                <w:rFonts w:hint="eastAsia" w:ascii="黑体" w:hAnsi="黑体" w:eastAsia="黑体" w:cs="Arial"/>
                <w:color w:val="000000"/>
                <w:sz w:val="20"/>
                <w:szCs w:val="20"/>
              </w:rPr>
              <w:t>其中：财政拨款结转</w:t>
            </w:r>
          </w:p>
        </w:tc>
      </w:tr>
      <w:tr>
        <w:tblPrEx>
          <w:tblCellMar>
            <w:top w:w="0" w:type="dxa"/>
            <w:left w:w="0" w:type="dxa"/>
            <w:bottom w:w="0" w:type="dxa"/>
            <w:right w:w="0" w:type="dxa"/>
          </w:tblCellMar>
        </w:tblPrEx>
        <w:trPr>
          <w:trHeight w:val="610" w:hRule="atLeast"/>
        </w:trPr>
        <w:tc>
          <w:tcPr>
            <w:tcW w:w="777" w:type="dxa"/>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类</w:t>
            </w:r>
          </w:p>
        </w:tc>
        <w:tc>
          <w:tcPr>
            <w:tcW w:w="761" w:type="dxa"/>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款</w:t>
            </w:r>
          </w:p>
        </w:tc>
        <w:tc>
          <w:tcPr>
            <w:tcW w:w="2191" w:type="dxa"/>
            <w:vMerge w:val="continue"/>
            <w:tcBorders>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14" w:type="dxa"/>
            <w:vMerge w:val="continue"/>
            <w:tcBorders>
              <w:top w:val="single" w:color="000000" w:sz="4" w:space="0"/>
              <w:left w:val="single" w:color="000000" w:sz="4" w:space="0"/>
              <w:bottom w:val="nil"/>
              <w:right w:val="single" w:color="000000" w:sz="4" w:space="0"/>
            </w:tcBorders>
            <w:vAlign w:val="center"/>
          </w:tcPr>
          <w:p>
            <w:pPr>
              <w:rPr>
                <w:rFonts w:ascii="黑体" w:hAnsi="黑体" w:eastAsia="黑体" w:cs="Arial"/>
                <w:color w:val="000000"/>
                <w:sz w:val="18"/>
                <w:szCs w:val="18"/>
              </w:rPr>
            </w:pP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20"/>
                <w:szCs w:val="20"/>
              </w:rPr>
            </w:pPr>
          </w:p>
        </w:tc>
        <w:tc>
          <w:tcPr>
            <w:tcW w:w="982" w:type="dxa"/>
            <w:vMerge w:val="continue"/>
            <w:tcBorders>
              <w:top w:val="single" w:color="000000" w:sz="4" w:space="0"/>
              <w:left w:val="single" w:color="000000" w:sz="4" w:space="0"/>
              <w:bottom w:val="nil"/>
              <w:right w:val="single" w:color="000000" w:sz="4" w:space="0"/>
            </w:tcBorders>
            <w:vAlign w:val="center"/>
          </w:tcPr>
          <w:p>
            <w:pPr>
              <w:rPr>
                <w:rFonts w:ascii="黑体" w:hAnsi="黑体" w:eastAsia="黑体" w:cs="Arial"/>
                <w:color w:val="000000"/>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left"/>
              <w:rPr>
                <w:rFonts w:ascii="仿宋_GB2312" w:eastAsia="仿宋_GB2312"/>
                <w:sz w:val="20"/>
                <w:szCs w:val="20"/>
              </w:rPr>
            </w:pP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工资福利支出</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492.72</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492.72</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492.72</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01</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基本工资</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139.64</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139.64</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139.64</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02</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津贴补贴</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184.34</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184.34</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184.34</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03</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奖金</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9.83</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9.83</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9.83</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07</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绩效工资</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16.15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16.15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16.15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08</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机关事业单位基本养老保险缴费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44.29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44.29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44.29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职工基本医疗保险缴费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19.38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19.38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19.38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11</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公务员医疗补助缴费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11.07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11.07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11.07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12</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其他社会保障缴费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16.05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16.05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16.05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13</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住房公积金</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41.97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41.97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41.97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301</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99</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其他工资福利支出</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10.00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10.00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10.00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20" w:hRule="atLeast"/>
        </w:trPr>
        <w:tc>
          <w:tcPr>
            <w:tcW w:w="1538" w:type="dxa"/>
            <w:gridSpan w:val="2"/>
            <w:vMerge w:val="restart"/>
            <w:tcBorders>
              <w:top w:val="single" w:color="000000" w:sz="4" w:space="0"/>
              <w:left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科目编码</w:t>
            </w:r>
          </w:p>
        </w:tc>
        <w:tc>
          <w:tcPr>
            <w:tcW w:w="2191" w:type="dxa"/>
            <w:vMerge w:val="restart"/>
            <w:tcBorders>
              <w:top w:val="single" w:color="000000" w:sz="4" w:space="0"/>
              <w:left w:val="single" w:color="000000" w:sz="4" w:space="0"/>
              <w:right w:val="single" w:color="000000" w:sz="4" w:space="0"/>
            </w:tcBorders>
            <w:shd w:val="clear" w:color="auto" w:fill="FFFFFF"/>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部门预算支出经济分类科目</w:t>
            </w:r>
          </w:p>
        </w:tc>
        <w:tc>
          <w:tcPr>
            <w:tcW w:w="118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合计</w:t>
            </w:r>
          </w:p>
        </w:tc>
        <w:tc>
          <w:tcPr>
            <w:tcW w:w="4774"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财政拨款</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财政专户管理资金</w:t>
            </w:r>
          </w:p>
        </w:tc>
        <w:tc>
          <w:tcPr>
            <w:tcW w:w="1020"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单位资金</w:t>
            </w:r>
          </w:p>
        </w:tc>
        <w:tc>
          <w:tcPr>
            <w:tcW w:w="1014" w:type="dxa"/>
            <w:vMerge w:val="restart"/>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使用非财政拨款结余</w:t>
            </w:r>
          </w:p>
        </w:tc>
        <w:tc>
          <w:tcPr>
            <w:tcW w:w="1833"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20"/>
                <w:szCs w:val="20"/>
              </w:rPr>
            </w:pPr>
            <w:r>
              <w:rPr>
                <w:rFonts w:hint="eastAsia" w:ascii="黑体" w:hAnsi="黑体" w:eastAsia="黑体" w:cs="Arial"/>
                <w:color w:val="000000"/>
                <w:sz w:val="20"/>
                <w:szCs w:val="20"/>
              </w:rPr>
              <w:t>上年结转</w:t>
            </w:r>
          </w:p>
        </w:tc>
      </w:tr>
      <w:tr>
        <w:tblPrEx>
          <w:tblCellMar>
            <w:top w:w="0" w:type="dxa"/>
            <w:left w:w="0" w:type="dxa"/>
            <w:bottom w:w="0" w:type="dxa"/>
            <w:right w:w="0" w:type="dxa"/>
          </w:tblCellMar>
        </w:tblPrEx>
        <w:trPr>
          <w:trHeight w:val="259" w:hRule="atLeast"/>
        </w:trPr>
        <w:tc>
          <w:tcPr>
            <w:tcW w:w="1538" w:type="dxa"/>
            <w:gridSpan w:val="2"/>
            <w:vMerge w:val="continue"/>
            <w:tcBorders>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p>
        </w:tc>
        <w:tc>
          <w:tcPr>
            <w:tcW w:w="2191" w:type="dxa"/>
            <w:vMerge w:val="continue"/>
            <w:tcBorders>
              <w:left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p>
        </w:tc>
        <w:tc>
          <w:tcPr>
            <w:tcW w:w="11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小计</w:t>
            </w: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一般公共预算</w:t>
            </w:r>
          </w:p>
        </w:tc>
        <w:tc>
          <w:tcPr>
            <w:tcW w:w="1192"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政府性基金预算</w:t>
            </w:r>
          </w:p>
        </w:tc>
        <w:tc>
          <w:tcPr>
            <w:tcW w:w="1198"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国有资本经营预算</w:t>
            </w: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14" w:type="dxa"/>
            <w:vMerge w:val="continue"/>
            <w:tcBorders>
              <w:top w:val="single" w:color="000000" w:sz="4" w:space="0"/>
              <w:left w:val="single" w:color="000000" w:sz="4" w:space="0"/>
              <w:bottom w:val="nil"/>
              <w:right w:val="single" w:color="000000" w:sz="4" w:space="0"/>
            </w:tcBorders>
            <w:vAlign w:val="center"/>
          </w:tcPr>
          <w:p>
            <w:pPr>
              <w:rPr>
                <w:rFonts w:ascii="黑体" w:hAnsi="黑体" w:eastAsia="黑体" w:cs="Arial"/>
                <w:color w:val="000000"/>
                <w:sz w:val="18"/>
                <w:szCs w:val="18"/>
              </w:rPr>
            </w:pPr>
          </w:p>
        </w:tc>
        <w:tc>
          <w:tcPr>
            <w:tcW w:w="85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20"/>
                <w:szCs w:val="20"/>
              </w:rPr>
            </w:pPr>
            <w:r>
              <w:rPr>
                <w:rFonts w:hint="eastAsia" w:ascii="黑体" w:hAnsi="黑体" w:eastAsia="黑体" w:cs="Arial"/>
                <w:color w:val="000000"/>
                <w:sz w:val="20"/>
                <w:szCs w:val="20"/>
              </w:rPr>
              <w:t>上年结转小计</w:t>
            </w:r>
          </w:p>
        </w:tc>
        <w:tc>
          <w:tcPr>
            <w:tcW w:w="982" w:type="dxa"/>
            <w:vMerge w:val="restart"/>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20"/>
                <w:szCs w:val="20"/>
              </w:rPr>
            </w:pPr>
            <w:r>
              <w:rPr>
                <w:rFonts w:hint="eastAsia" w:ascii="黑体" w:hAnsi="黑体" w:eastAsia="黑体" w:cs="Arial"/>
                <w:color w:val="000000"/>
                <w:sz w:val="20"/>
                <w:szCs w:val="20"/>
              </w:rPr>
              <w:t>其中：财政拨款结转</w:t>
            </w:r>
          </w:p>
        </w:tc>
      </w:tr>
      <w:tr>
        <w:tblPrEx>
          <w:tblCellMar>
            <w:top w:w="0" w:type="dxa"/>
            <w:left w:w="0" w:type="dxa"/>
            <w:bottom w:w="0" w:type="dxa"/>
            <w:right w:w="0" w:type="dxa"/>
          </w:tblCellMar>
        </w:tblPrEx>
        <w:trPr>
          <w:trHeight w:val="610" w:hRule="atLeast"/>
        </w:trPr>
        <w:tc>
          <w:tcPr>
            <w:tcW w:w="777" w:type="dxa"/>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类</w:t>
            </w:r>
          </w:p>
        </w:tc>
        <w:tc>
          <w:tcPr>
            <w:tcW w:w="761" w:type="dxa"/>
            <w:tcBorders>
              <w:top w:val="single" w:color="000000" w:sz="4" w:space="0"/>
              <w:left w:val="single" w:color="000000" w:sz="4" w:space="0"/>
              <w:bottom w:val="nil"/>
              <w:right w:val="single" w:color="000000" w:sz="4" w:space="0"/>
            </w:tcBorders>
            <w:shd w:val="clear" w:color="auto" w:fill="FFFFFF"/>
            <w:tcMar>
              <w:top w:w="15" w:type="dxa"/>
              <w:left w:w="15" w:type="dxa"/>
              <w:bottom w:w="0" w:type="dxa"/>
              <w:right w:w="15" w:type="dxa"/>
            </w:tcMar>
            <w:vAlign w:val="center"/>
          </w:tcPr>
          <w:p>
            <w:pPr>
              <w:jc w:val="center"/>
              <w:rPr>
                <w:rFonts w:ascii="黑体" w:hAnsi="黑体" w:eastAsia="黑体" w:cs="Arial"/>
                <w:color w:val="000000"/>
                <w:sz w:val="18"/>
                <w:szCs w:val="18"/>
              </w:rPr>
            </w:pPr>
            <w:r>
              <w:rPr>
                <w:rFonts w:hint="eastAsia" w:ascii="黑体" w:hAnsi="黑体" w:eastAsia="黑体" w:cs="Arial"/>
                <w:color w:val="000000"/>
                <w:sz w:val="18"/>
                <w:szCs w:val="18"/>
              </w:rPr>
              <w:t>款</w:t>
            </w:r>
          </w:p>
        </w:tc>
        <w:tc>
          <w:tcPr>
            <w:tcW w:w="2191" w:type="dxa"/>
            <w:vMerge w:val="continue"/>
            <w:tcBorders>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8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2"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198"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20"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18"/>
                <w:szCs w:val="18"/>
              </w:rPr>
            </w:pPr>
          </w:p>
        </w:tc>
        <w:tc>
          <w:tcPr>
            <w:tcW w:w="1014" w:type="dxa"/>
            <w:vMerge w:val="continue"/>
            <w:tcBorders>
              <w:top w:val="single" w:color="000000" w:sz="4" w:space="0"/>
              <w:left w:val="single" w:color="000000" w:sz="4" w:space="0"/>
              <w:bottom w:val="nil"/>
              <w:right w:val="single" w:color="000000" w:sz="4" w:space="0"/>
            </w:tcBorders>
            <w:vAlign w:val="center"/>
          </w:tcPr>
          <w:p>
            <w:pPr>
              <w:rPr>
                <w:rFonts w:ascii="黑体" w:hAnsi="黑体" w:eastAsia="黑体" w:cs="Arial"/>
                <w:color w:val="000000"/>
                <w:sz w:val="18"/>
                <w:szCs w:val="18"/>
              </w:rPr>
            </w:pPr>
          </w:p>
        </w:tc>
        <w:tc>
          <w:tcPr>
            <w:tcW w:w="851" w:type="dxa"/>
            <w:vMerge w:val="continue"/>
            <w:tcBorders>
              <w:top w:val="single" w:color="000000" w:sz="4" w:space="0"/>
              <w:left w:val="single" w:color="000000" w:sz="4" w:space="0"/>
              <w:bottom w:val="single" w:color="000000" w:sz="4" w:space="0"/>
              <w:right w:val="single" w:color="000000" w:sz="4" w:space="0"/>
            </w:tcBorders>
            <w:vAlign w:val="center"/>
          </w:tcPr>
          <w:p>
            <w:pPr>
              <w:rPr>
                <w:rFonts w:ascii="黑体" w:hAnsi="黑体" w:eastAsia="黑体" w:cs="Arial"/>
                <w:color w:val="000000"/>
                <w:sz w:val="20"/>
                <w:szCs w:val="20"/>
              </w:rPr>
            </w:pPr>
          </w:p>
        </w:tc>
        <w:tc>
          <w:tcPr>
            <w:tcW w:w="982" w:type="dxa"/>
            <w:vMerge w:val="continue"/>
            <w:tcBorders>
              <w:top w:val="single" w:color="000000" w:sz="4" w:space="0"/>
              <w:left w:val="single" w:color="000000" w:sz="4" w:space="0"/>
              <w:bottom w:val="nil"/>
              <w:right w:val="single" w:color="000000" w:sz="4" w:space="0"/>
            </w:tcBorders>
            <w:vAlign w:val="center"/>
          </w:tcPr>
          <w:p>
            <w:pPr>
              <w:rPr>
                <w:rFonts w:ascii="黑体" w:hAnsi="黑体" w:eastAsia="黑体" w:cs="Arial"/>
                <w:color w:val="000000"/>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302</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left"/>
              <w:rPr>
                <w:rFonts w:ascii="仿宋_GB2312" w:eastAsia="仿宋_GB2312"/>
                <w:sz w:val="20"/>
                <w:szCs w:val="20"/>
              </w:rPr>
            </w:pP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商品和服务支出</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22.86</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22.86</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22.86</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302</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01</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办公费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3.40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3.40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3.40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302</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28</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工会经费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7.21</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7.21</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7.21</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302</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29</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福利费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0.59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0.59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0.59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302</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31</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公务用车运行维护费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1.50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1.50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1.50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302</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39</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其他交通费用</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10.16</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10.16</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10.16</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left"/>
              <w:rPr>
                <w:rFonts w:ascii="仿宋_GB2312" w:eastAsia="仿宋_GB2312"/>
                <w:sz w:val="20"/>
                <w:szCs w:val="20"/>
              </w:rPr>
            </w:pP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对个人和家庭的补助</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19.58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19.58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19.58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02</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退休费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9.75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9.75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9.75</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03</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退职（役）费</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1.58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1.58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1.58</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05</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生活补助</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4.69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4.69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4.69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07</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医疗费补助</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0.17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0.17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0.17</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09</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奖励金</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1.90</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r>
        <w:tblPrEx>
          <w:tblCellMar>
            <w:top w:w="0" w:type="dxa"/>
            <w:left w:w="0" w:type="dxa"/>
            <w:bottom w:w="0" w:type="dxa"/>
            <w:right w:w="0" w:type="dxa"/>
          </w:tblCellMar>
        </w:tblPrEx>
        <w:trPr>
          <w:trHeight w:val="480" w:hRule="atLeast"/>
        </w:trPr>
        <w:tc>
          <w:tcPr>
            <w:tcW w:w="7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303</w:t>
            </w:r>
          </w:p>
        </w:tc>
        <w:tc>
          <w:tcPr>
            <w:tcW w:w="76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99</w:t>
            </w:r>
          </w:p>
        </w:tc>
        <w:tc>
          <w:tcPr>
            <w:tcW w:w="21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lef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 xml:space="preserve">  其他对个人和家庭的补助</w:t>
            </w:r>
          </w:p>
        </w:tc>
        <w:tc>
          <w:tcPr>
            <w:tcW w:w="11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1.49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1.49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keepNext w:val="0"/>
              <w:keepLines w:val="0"/>
              <w:widowControl/>
              <w:suppressLineNumbers w:val="0"/>
              <w:jc w:val="right"/>
              <w:textAlignment w:val="center"/>
              <w:rPr>
                <w:rFonts w:ascii="仿宋_GB2312" w:eastAsia="仿宋_GB2312"/>
                <w:sz w:val="20"/>
                <w:szCs w:val="20"/>
              </w:rPr>
            </w:pPr>
            <w:r>
              <w:rPr>
                <w:rFonts w:hint="eastAsia" w:ascii="宋体" w:hAnsi="宋体" w:eastAsia="宋体" w:cs="宋体"/>
                <w:i w:val="0"/>
                <w:color w:val="000000"/>
                <w:kern w:val="0"/>
                <w:sz w:val="20"/>
                <w:szCs w:val="20"/>
                <w:u w:val="none"/>
                <w:lang w:val="en-US" w:eastAsia="zh-CN" w:bidi="ar"/>
              </w:rPr>
              <w:t>1.49</w:t>
            </w:r>
          </w:p>
        </w:tc>
        <w:tc>
          <w:tcPr>
            <w:tcW w:w="119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19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101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85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c>
          <w:tcPr>
            <w:tcW w:w="98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bottom w:w="0" w:type="dxa"/>
              <w:right w:w="15" w:type="dxa"/>
            </w:tcMar>
            <w:vAlign w:val="center"/>
          </w:tcPr>
          <w:p>
            <w:pPr>
              <w:jc w:val="right"/>
              <w:rPr>
                <w:rFonts w:ascii="仿宋_GB2312" w:eastAsia="仿宋_GB2312"/>
                <w:sz w:val="20"/>
                <w:szCs w:val="20"/>
              </w:rPr>
            </w:pPr>
          </w:p>
        </w:tc>
      </w:tr>
    </w:tbl>
    <w:p>
      <w:pPr>
        <w:widowControl/>
        <w:jc w:val="left"/>
        <w:rPr>
          <w:rFonts w:ascii="仿宋_GB2312" w:eastAsia="仿宋_GB2312"/>
          <w:b/>
          <w:sz w:val="30"/>
          <w:szCs w:val="30"/>
        </w:rPr>
      </w:pPr>
      <w:r>
        <w:rPr>
          <w:rFonts w:ascii="仿宋_GB2312" w:eastAsia="仿宋_GB2312"/>
          <w:b/>
          <w:sz w:val="30"/>
          <w:szCs w:val="30"/>
        </w:rPr>
        <w:t xml:space="preserve"> </w:t>
      </w:r>
      <w:r>
        <w:rPr>
          <w:rFonts w:ascii="仿宋_GB2312" w:eastAsia="仿宋_GB2312"/>
          <w:b/>
          <w:sz w:val="30"/>
          <w:szCs w:val="30"/>
        </w:rPr>
        <w:br w:type="page"/>
      </w:r>
    </w:p>
    <w:tbl>
      <w:tblPr>
        <w:tblStyle w:val="9"/>
        <w:tblW w:w="14570" w:type="dxa"/>
        <w:tblInd w:w="0" w:type="dxa"/>
        <w:tblLayout w:type="fixed"/>
        <w:tblCellMar>
          <w:top w:w="0" w:type="dxa"/>
          <w:left w:w="0" w:type="dxa"/>
          <w:bottom w:w="0" w:type="dxa"/>
          <w:right w:w="0" w:type="dxa"/>
        </w:tblCellMar>
      </w:tblPr>
      <w:tblGrid>
        <w:gridCol w:w="3504"/>
        <w:gridCol w:w="1180"/>
        <w:gridCol w:w="959"/>
        <w:gridCol w:w="1069"/>
        <w:gridCol w:w="1069"/>
        <w:gridCol w:w="1069"/>
        <w:gridCol w:w="1101"/>
        <w:gridCol w:w="921"/>
        <w:gridCol w:w="938"/>
        <w:gridCol w:w="1014"/>
        <w:gridCol w:w="790"/>
        <w:gridCol w:w="956"/>
      </w:tblGrid>
      <w:tr>
        <w:trPr>
          <w:trHeight w:val="340" w:hRule="atLeast"/>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pPr>
              <w:jc w:val="right"/>
              <w:rPr>
                <w:rFonts w:ascii="宋体" w:hAnsi="宋体" w:cs="宋体"/>
                <w:color w:val="000000"/>
                <w:sz w:val="18"/>
                <w:szCs w:val="18"/>
              </w:rPr>
            </w:pPr>
            <w:r>
              <w:rPr>
                <w:rFonts w:hint="eastAsia" w:ascii="黑体" w:hAnsi="黑体" w:eastAsia="黑体"/>
                <w:bCs/>
                <w:szCs w:val="21"/>
              </w:rPr>
              <w:t>部门公开表1</w:t>
            </w:r>
            <w:r>
              <w:rPr>
                <w:rFonts w:ascii="黑体" w:hAnsi="黑体" w:eastAsia="黑体"/>
                <w:bCs/>
                <w:szCs w:val="21"/>
              </w:rPr>
              <w:t>3</w:t>
            </w:r>
          </w:p>
        </w:tc>
      </w:tr>
      <w:tr>
        <w:tblPrEx>
          <w:tblCellMar>
            <w:top w:w="0" w:type="dxa"/>
            <w:left w:w="0" w:type="dxa"/>
            <w:bottom w:w="0" w:type="dxa"/>
            <w:right w:w="0" w:type="dxa"/>
          </w:tblCellMar>
        </w:tblPrEx>
        <w:trPr>
          <w:trHeight w:val="645" w:hRule="atLeast"/>
          <w:tblHeader/>
        </w:trPr>
        <w:tc>
          <w:tcPr>
            <w:tcW w:w="14570" w:type="dxa"/>
            <w:gridSpan w:val="12"/>
            <w:tcBorders>
              <w:top w:val="nil"/>
              <w:left w:val="nil"/>
              <w:bottom w:val="nil"/>
              <w:right w:val="nil"/>
            </w:tcBorders>
            <w:shd w:val="clear" w:color="000000" w:fill="FFFFFF"/>
            <w:tcMar>
              <w:top w:w="10" w:type="dxa"/>
              <w:left w:w="10" w:type="dxa"/>
              <w:right w:w="10" w:type="dxa"/>
            </w:tcMar>
            <w:vAlign w:val="center"/>
          </w:tcPr>
          <w:p>
            <w:pPr>
              <w:widowControl/>
              <w:jc w:val="center"/>
              <w:textAlignment w:val="center"/>
              <w:rPr>
                <w:rFonts w:ascii="宋体" w:hAnsi="宋体" w:cs="宋体"/>
                <w:b/>
                <w:color w:val="000000"/>
                <w:sz w:val="36"/>
                <w:szCs w:val="36"/>
              </w:rPr>
            </w:pPr>
            <w:r>
              <w:rPr>
                <w:rFonts w:hint="eastAsia" w:ascii="黑体" w:hAnsi="黑体" w:eastAsia="黑体"/>
                <w:bCs/>
                <w:sz w:val="28"/>
                <w:szCs w:val="28"/>
              </w:rPr>
              <w:t>项目支出预算表</w:t>
            </w:r>
          </w:p>
        </w:tc>
      </w:tr>
      <w:tr>
        <w:tblPrEx>
          <w:tblCellMar>
            <w:top w:w="0" w:type="dxa"/>
            <w:left w:w="0" w:type="dxa"/>
            <w:bottom w:w="0" w:type="dxa"/>
            <w:right w:w="0" w:type="dxa"/>
          </w:tblCellMar>
        </w:tblPrEx>
        <w:trPr>
          <w:trHeight w:val="340" w:hRule="atLeast"/>
          <w:tblHeader/>
        </w:trPr>
        <w:tc>
          <w:tcPr>
            <w:tcW w:w="14570" w:type="dxa"/>
            <w:gridSpan w:val="12"/>
            <w:tcBorders>
              <w:top w:val="nil"/>
              <w:left w:val="nil"/>
              <w:bottom w:val="single" w:color="auto" w:sz="4" w:space="0"/>
              <w:right w:val="nil"/>
            </w:tcBorders>
            <w:shd w:val="clear" w:color="000000" w:fill="FFFFFF"/>
            <w:tcMar>
              <w:top w:w="10" w:type="dxa"/>
              <w:left w:w="10" w:type="dxa"/>
              <w:right w:w="10" w:type="dxa"/>
            </w:tcMar>
            <w:vAlign w:val="center"/>
          </w:tcPr>
          <w:p>
            <w:pPr>
              <w:widowControl/>
              <w:jc w:val="right"/>
              <w:textAlignment w:val="center"/>
              <w:rPr>
                <w:rFonts w:ascii="仿宋_GB2312" w:hAnsi="宋体" w:eastAsia="仿宋_GB2312" w:cs="宋体"/>
                <w:kern w:val="0"/>
                <w:szCs w:val="21"/>
              </w:rPr>
            </w:pPr>
            <w:r>
              <w:rPr>
                <w:rFonts w:hint="eastAsia" w:ascii="仿宋_GB2312" w:hAnsi="宋体" w:eastAsia="仿宋_GB2312" w:cs="宋体"/>
                <w:kern w:val="0"/>
                <w:szCs w:val="21"/>
              </w:rPr>
              <w:t>单位：万元</w:t>
            </w:r>
          </w:p>
        </w:tc>
      </w:tr>
      <w:tr>
        <w:tblPrEx>
          <w:tblCellMar>
            <w:top w:w="0" w:type="dxa"/>
            <w:left w:w="0" w:type="dxa"/>
            <w:bottom w:w="0" w:type="dxa"/>
            <w:right w:w="0" w:type="dxa"/>
          </w:tblCellMar>
        </w:tblPrEx>
        <w:trPr>
          <w:trHeight w:val="340" w:hRule="atLeast"/>
          <w:tblHeader/>
        </w:trPr>
        <w:tc>
          <w:tcPr>
            <w:tcW w:w="3504"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项目名称</w:t>
            </w:r>
          </w:p>
        </w:tc>
        <w:tc>
          <w:tcPr>
            <w:tcW w:w="1180" w:type="dxa"/>
            <w:vMerge w:val="restart"/>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项目类型</w:t>
            </w:r>
          </w:p>
        </w:tc>
        <w:tc>
          <w:tcPr>
            <w:tcW w:w="959"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合计</w:t>
            </w:r>
          </w:p>
        </w:tc>
        <w:tc>
          <w:tcPr>
            <w:tcW w:w="4308" w:type="dxa"/>
            <w:gridSpan w:val="4"/>
            <w:tcBorders>
              <w:top w:val="single" w:color="auto" w:sz="4" w:space="0"/>
              <w:left w:val="nil"/>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财政拨款</w:t>
            </w:r>
          </w:p>
        </w:tc>
        <w:tc>
          <w:tcPr>
            <w:tcW w:w="92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财政专户管理资金</w:t>
            </w:r>
          </w:p>
        </w:tc>
        <w:tc>
          <w:tcPr>
            <w:tcW w:w="938"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单位资金</w:t>
            </w:r>
          </w:p>
        </w:tc>
        <w:tc>
          <w:tcPr>
            <w:tcW w:w="1014"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使用非财政拨款结余</w:t>
            </w:r>
          </w:p>
        </w:tc>
        <w:tc>
          <w:tcPr>
            <w:tcW w:w="1746" w:type="dxa"/>
            <w:gridSpan w:val="2"/>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上年结转</w:t>
            </w:r>
          </w:p>
        </w:tc>
      </w:tr>
      <w:tr>
        <w:tblPrEx>
          <w:tblCellMar>
            <w:top w:w="0" w:type="dxa"/>
            <w:left w:w="0" w:type="dxa"/>
            <w:bottom w:w="0" w:type="dxa"/>
            <w:right w:w="0" w:type="dxa"/>
          </w:tblCellMar>
        </w:tblPrEx>
        <w:trPr>
          <w:trHeight w:val="340" w:hRule="atLeast"/>
          <w:tblHeader/>
        </w:trPr>
        <w:tc>
          <w:tcPr>
            <w:tcW w:w="3504"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jc w:val="center"/>
              <w:rPr>
                <w:rFonts w:ascii="黑体" w:hAnsi="黑体" w:eastAsia="黑体" w:cs="黑体"/>
                <w:color w:val="000000"/>
                <w:sz w:val="18"/>
                <w:szCs w:val="18"/>
              </w:rPr>
            </w:pPr>
          </w:p>
        </w:tc>
        <w:tc>
          <w:tcPr>
            <w:tcW w:w="118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jc w:val="center"/>
              <w:rPr>
                <w:rFonts w:ascii="黑体" w:hAnsi="黑体" w:eastAsia="黑体" w:cs="黑体"/>
                <w:color w:val="000000"/>
                <w:sz w:val="18"/>
                <w:szCs w:val="18"/>
              </w:rPr>
            </w:pPr>
          </w:p>
        </w:tc>
        <w:tc>
          <w:tcPr>
            <w:tcW w:w="95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069"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小计</w:t>
            </w:r>
          </w:p>
        </w:tc>
        <w:tc>
          <w:tcPr>
            <w:tcW w:w="1069"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一般公共预算</w:t>
            </w:r>
          </w:p>
        </w:tc>
        <w:tc>
          <w:tcPr>
            <w:tcW w:w="1069"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政府性基金预算</w:t>
            </w:r>
          </w:p>
        </w:tc>
        <w:tc>
          <w:tcPr>
            <w:tcW w:w="1101"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国有资本经营预算</w:t>
            </w:r>
          </w:p>
        </w:tc>
        <w:tc>
          <w:tcPr>
            <w:tcW w:w="92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938"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1014"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黑体" w:hAnsi="黑体" w:eastAsia="黑体" w:cs="黑体"/>
                <w:color w:val="000000"/>
                <w:sz w:val="18"/>
                <w:szCs w:val="18"/>
              </w:rPr>
            </w:pPr>
          </w:p>
        </w:tc>
        <w:tc>
          <w:tcPr>
            <w:tcW w:w="790"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上年结转小计</w:t>
            </w:r>
          </w:p>
        </w:tc>
        <w:tc>
          <w:tcPr>
            <w:tcW w:w="956" w:type="dxa"/>
            <w:vMerge w:val="restart"/>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widowControl/>
              <w:jc w:val="center"/>
              <w:textAlignment w:val="center"/>
              <w:rPr>
                <w:rFonts w:ascii="黑体" w:hAnsi="黑体" w:eastAsia="黑体" w:cs="黑体"/>
                <w:color w:val="000000"/>
                <w:sz w:val="18"/>
                <w:szCs w:val="18"/>
              </w:rPr>
            </w:pPr>
            <w:r>
              <w:rPr>
                <w:rFonts w:hint="eastAsia" w:ascii="黑体" w:hAnsi="黑体" w:eastAsia="黑体" w:cs="黑体"/>
                <w:color w:val="000000"/>
                <w:kern w:val="0"/>
                <w:sz w:val="18"/>
                <w:szCs w:val="18"/>
                <w:lang w:bidi="ar"/>
              </w:rPr>
              <w:t>其中：财政拨款结转</w:t>
            </w:r>
          </w:p>
        </w:tc>
      </w:tr>
      <w:tr>
        <w:tblPrEx>
          <w:tblCellMar>
            <w:top w:w="0" w:type="dxa"/>
            <w:left w:w="0" w:type="dxa"/>
            <w:bottom w:w="0" w:type="dxa"/>
            <w:right w:w="0" w:type="dxa"/>
          </w:tblCellMar>
        </w:tblPrEx>
        <w:trPr>
          <w:trHeight w:val="340" w:hRule="atLeast"/>
          <w:tblHeader/>
        </w:trPr>
        <w:tc>
          <w:tcPr>
            <w:tcW w:w="3504"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jc w:val="center"/>
              <w:rPr>
                <w:rFonts w:ascii="宋体" w:hAnsi="宋体" w:cs="宋体"/>
                <w:color w:val="000000"/>
                <w:sz w:val="18"/>
                <w:szCs w:val="18"/>
              </w:rPr>
            </w:pPr>
          </w:p>
        </w:tc>
        <w:tc>
          <w:tcPr>
            <w:tcW w:w="118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jc w:val="center"/>
              <w:rPr>
                <w:rFonts w:ascii="宋体" w:hAnsi="宋体" w:cs="宋体"/>
                <w:color w:val="000000"/>
                <w:sz w:val="18"/>
                <w:szCs w:val="18"/>
              </w:rPr>
            </w:pPr>
          </w:p>
        </w:tc>
        <w:tc>
          <w:tcPr>
            <w:tcW w:w="95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6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6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6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10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92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938"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14"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790"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956"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40" w:hRule="atLeast"/>
          <w:tblHeader/>
        </w:trPr>
        <w:tc>
          <w:tcPr>
            <w:tcW w:w="3504"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jc w:val="center"/>
              <w:rPr>
                <w:rFonts w:ascii="宋体" w:hAnsi="宋体" w:cs="宋体"/>
                <w:color w:val="000000"/>
                <w:sz w:val="18"/>
                <w:szCs w:val="18"/>
              </w:rPr>
            </w:pPr>
          </w:p>
        </w:tc>
        <w:tc>
          <w:tcPr>
            <w:tcW w:w="1180" w:type="dxa"/>
            <w:vMerge w:val="continue"/>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jc w:val="center"/>
              <w:rPr>
                <w:rFonts w:ascii="宋体" w:hAnsi="宋体" w:cs="宋体"/>
                <w:color w:val="000000"/>
                <w:sz w:val="18"/>
                <w:szCs w:val="18"/>
              </w:rPr>
            </w:pPr>
          </w:p>
        </w:tc>
        <w:tc>
          <w:tcPr>
            <w:tcW w:w="95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6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6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69"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10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921"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938"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1014"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790"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c>
          <w:tcPr>
            <w:tcW w:w="956" w:type="dxa"/>
            <w:vMerge w:val="continue"/>
            <w:tcBorders>
              <w:top w:val="single" w:color="auto" w:sz="4" w:space="0"/>
              <w:left w:val="single" w:color="auto" w:sz="4" w:space="0"/>
              <w:bottom w:val="single" w:color="auto" w:sz="4" w:space="0"/>
              <w:right w:val="single" w:color="auto" w:sz="4" w:space="0"/>
            </w:tcBorders>
            <w:shd w:val="clear" w:color="000000" w:fill="FFFFFF"/>
            <w:tcMar>
              <w:top w:w="10" w:type="dxa"/>
              <w:left w:w="10" w:type="dxa"/>
              <w:right w:w="10" w:type="dxa"/>
            </w:tcMar>
            <w:vAlign w:val="center"/>
          </w:tcPr>
          <w:p>
            <w:pPr>
              <w:jc w:val="center"/>
              <w:rPr>
                <w:rFonts w:ascii="宋体" w:hAnsi="宋体" w:cs="宋体"/>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textAlignment w:val="center"/>
              <w:rPr>
                <w:rFonts w:ascii="仿宋_GB2312" w:hAnsi="仿宋_GB2312" w:eastAsia="仿宋_GB2312" w:cs="仿宋_GB2312"/>
                <w:b/>
                <w:color w:val="000000"/>
                <w:sz w:val="18"/>
                <w:szCs w:val="18"/>
              </w:rPr>
            </w:pPr>
            <w:r>
              <w:rPr>
                <w:rFonts w:hint="eastAsia" w:ascii="仿宋_GB2312" w:hAnsi="仿宋_GB2312" w:eastAsia="仿宋_GB2312" w:cs="仿宋_GB2312"/>
                <w:b/>
                <w:color w:val="000000"/>
                <w:sz w:val="18"/>
                <w:szCs w:val="18"/>
              </w:rPr>
              <w:t xml:space="preserve">合 </w:t>
            </w:r>
            <w:r>
              <w:rPr>
                <w:rFonts w:ascii="仿宋_GB2312" w:hAnsi="仿宋_GB2312" w:eastAsia="仿宋_GB2312" w:cs="仿宋_GB2312"/>
                <w:b/>
                <w:color w:val="000000"/>
                <w:sz w:val="18"/>
                <w:szCs w:val="18"/>
              </w:rPr>
              <w:t xml:space="preserve">   </w:t>
            </w:r>
            <w:r>
              <w:rPr>
                <w:rFonts w:hint="eastAsia" w:ascii="仿宋_GB2312" w:hAnsi="仿宋_GB2312" w:eastAsia="仿宋_GB2312" w:cs="仿宋_GB2312"/>
                <w:b/>
                <w:color w:val="000000"/>
                <w:sz w:val="18"/>
                <w:szCs w:val="18"/>
              </w:rPr>
              <w:t>计</w:t>
            </w: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80</w:t>
            </w: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80</w:t>
            </w: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80</w:t>
            </w: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审计业务</w:t>
            </w: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eastAsia"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审计业务</w:t>
            </w: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80</w:t>
            </w: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80</w:t>
            </w: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hint="default" w:ascii="仿宋_GB2312" w:hAnsi="仿宋_GB2312" w:eastAsia="仿宋_GB2312" w:cs="仿宋_GB2312"/>
                <w:b/>
                <w:color w:val="000000"/>
                <w:sz w:val="18"/>
                <w:szCs w:val="18"/>
                <w:lang w:val="en-US" w:eastAsia="zh-CN"/>
              </w:rPr>
            </w:pPr>
            <w:r>
              <w:rPr>
                <w:rFonts w:hint="eastAsia" w:ascii="仿宋_GB2312" w:hAnsi="仿宋_GB2312" w:eastAsia="仿宋_GB2312" w:cs="仿宋_GB2312"/>
                <w:b/>
                <w:color w:val="000000"/>
                <w:sz w:val="18"/>
                <w:szCs w:val="18"/>
                <w:lang w:val="en-US" w:eastAsia="zh-CN"/>
              </w:rPr>
              <w:t>80</w:t>
            </w: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b/>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b/>
                <w:color w:val="000000"/>
                <w:sz w:val="18"/>
                <w:szCs w:val="18"/>
              </w:rPr>
            </w:pPr>
          </w:p>
        </w:tc>
      </w:tr>
      <w:tr>
        <w:tblPrEx>
          <w:tblCellMar>
            <w:top w:w="0" w:type="dxa"/>
            <w:left w:w="0" w:type="dxa"/>
            <w:bottom w:w="0" w:type="dxa"/>
            <w:right w:w="0" w:type="dxa"/>
          </w:tblCellMar>
        </w:tblPrEx>
        <w:trPr>
          <w:trHeight w:val="340" w:hRule="atLeast"/>
        </w:trPr>
        <w:tc>
          <w:tcPr>
            <w:tcW w:w="3504" w:type="dxa"/>
            <w:tcBorders>
              <w:top w:val="single" w:color="auto" w:sz="4" w:space="0"/>
              <w:left w:val="single" w:color="auto" w:sz="4" w:space="0"/>
              <w:bottom w:val="single" w:color="auto" w:sz="4" w:space="0"/>
              <w:right w:val="single" w:color="auto" w:sz="4" w:space="0"/>
            </w:tcBorders>
            <w:shd w:val="clear" w:color="auto" w:fill="auto"/>
            <w:tcMar>
              <w:top w:w="10" w:type="dxa"/>
              <w:left w:w="10" w:type="dxa"/>
              <w:right w:w="10" w:type="dxa"/>
            </w:tcMar>
            <w:vAlign w:val="center"/>
          </w:tcPr>
          <w:p>
            <w:pPr>
              <w:widowControl/>
              <w:jc w:val="left"/>
              <w:textAlignment w:val="center"/>
              <w:rPr>
                <w:rFonts w:ascii="仿宋_GB2312" w:hAnsi="仿宋_GB2312" w:eastAsia="仿宋_GB2312" w:cs="仿宋_GB2312"/>
                <w:color w:val="000000"/>
                <w:sz w:val="18"/>
                <w:szCs w:val="18"/>
              </w:rPr>
            </w:pPr>
          </w:p>
        </w:tc>
        <w:tc>
          <w:tcPr>
            <w:tcW w:w="118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69"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10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21"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38"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1014"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790"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c>
          <w:tcPr>
            <w:tcW w:w="956" w:type="dxa"/>
            <w:tcBorders>
              <w:top w:val="single" w:color="auto" w:sz="4" w:space="0"/>
              <w:left w:val="nil"/>
              <w:bottom w:val="single" w:color="auto" w:sz="4" w:space="0"/>
              <w:right w:val="single" w:color="auto" w:sz="4" w:space="0"/>
            </w:tcBorders>
            <w:shd w:val="clear" w:color="auto" w:fill="auto"/>
            <w:tcMar>
              <w:top w:w="10" w:type="dxa"/>
              <w:left w:w="10" w:type="dxa"/>
              <w:right w:w="10" w:type="dxa"/>
            </w:tcMar>
            <w:vAlign w:val="center"/>
          </w:tcPr>
          <w:p>
            <w:pPr>
              <w:widowControl/>
              <w:jc w:val="center"/>
              <w:textAlignment w:val="center"/>
              <w:rPr>
                <w:rFonts w:ascii="仿宋_GB2312" w:hAnsi="仿宋_GB2312" w:eastAsia="仿宋_GB2312" w:cs="仿宋_GB2312"/>
                <w:color w:val="000000"/>
                <w:sz w:val="18"/>
                <w:szCs w:val="18"/>
              </w:rPr>
            </w:pPr>
          </w:p>
        </w:tc>
      </w:tr>
    </w:tbl>
    <w:p>
      <w:pPr>
        <w:rPr>
          <w:rFonts w:ascii="黑体" w:eastAsia="黑体"/>
          <w:sz w:val="52"/>
          <w:szCs w:val="52"/>
        </w:rPr>
      </w:pPr>
    </w:p>
    <w:p>
      <w:pPr>
        <w:rPr>
          <w:rFonts w:ascii="黑体" w:eastAsia="黑体"/>
          <w:sz w:val="52"/>
          <w:szCs w:val="52"/>
        </w:rPr>
        <w:sectPr>
          <w:pgSz w:w="16838" w:h="11906" w:orient="landscape"/>
          <w:pgMar w:top="1701" w:right="1134" w:bottom="1701" w:left="1134" w:header="851" w:footer="992" w:gutter="0"/>
          <w:cols w:space="720" w:num="1"/>
          <w:docGrid w:linePitch="312" w:charSpace="0"/>
        </w:sectPr>
      </w:pPr>
    </w:p>
    <w:p>
      <w:pPr>
        <w:rPr>
          <w:rFonts w:ascii="黑体" w:eastAsia="黑体"/>
          <w:sz w:val="52"/>
          <w:szCs w:val="52"/>
        </w:rPr>
      </w:pPr>
      <w:r>
        <w:rPr>
          <w:rFonts w:hint="eastAsia" w:ascii="黑体" w:eastAsia="黑体"/>
          <w:sz w:val="52"/>
          <w:szCs w:val="52"/>
        </w:rPr>
        <w:t>第三部分</w:t>
      </w:r>
    </w:p>
    <w:p>
      <w:pPr>
        <w:ind w:left="1041" w:leftChars="372" w:hanging="260" w:hangingChars="50"/>
        <w:jc w:val="center"/>
        <w:rPr>
          <w:rFonts w:ascii="黑体" w:eastAsia="黑体"/>
          <w:sz w:val="52"/>
          <w:szCs w:val="52"/>
        </w:rPr>
      </w:pPr>
    </w:p>
    <w:p>
      <w:pPr>
        <w:ind w:left="1041" w:leftChars="372" w:hanging="260" w:hangingChars="50"/>
        <w:jc w:val="center"/>
        <w:rPr>
          <w:rFonts w:ascii="黑体" w:eastAsia="黑体"/>
          <w:sz w:val="52"/>
          <w:szCs w:val="52"/>
        </w:rPr>
      </w:pPr>
    </w:p>
    <w:p>
      <w:pPr>
        <w:ind w:left="1041" w:leftChars="372" w:hanging="260" w:hangingChars="50"/>
        <w:jc w:val="center"/>
        <w:rPr>
          <w:rFonts w:ascii="黑体" w:eastAsia="黑体"/>
          <w:sz w:val="52"/>
          <w:szCs w:val="52"/>
        </w:rPr>
      </w:pPr>
    </w:p>
    <w:p>
      <w:pPr>
        <w:ind w:left="277" w:leftChars="8" w:hanging="260" w:hangingChars="50"/>
        <w:jc w:val="center"/>
        <w:rPr>
          <w:rFonts w:ascii="黑体" w:eastAsia="黑体"/>
          <w:sz w:val="52"/>
          <w:szCs w:val="52"/>
        </w:rPr>
      </w:pPr>
      <w:r>
        <w:rPr>
          <w:rFonts w:hint="eastAsia" w:ascii="黑体" w:eastAsia="黑体"/>
          <w:sz w:val="52"/>
          <w:szCs w:val="52"/>
        </w:rPr>
        <w:t>2022年部门预算情况和</w:t>
      </w:r>
    </w:p>
    <w:p>
      <w:pPr>
        <w:ind w:left="277" w:leftChars="8" w:hanging="260" w:hangingChars="50"/>
        <w:jc w:val="center"/>
        <w:rPr>
          <w:rFonts w:ascii="黑体" w:eastAsia="黑体"/>
          <w:sz w:val="52"/>
          <w:szCs w:val="52"/>
        </w:rPr>
      </w:pPr>
      <w:r>
        <w:rPr>
          <w:rFonts w:hint="eastAsia" w:ascii="黑体" w:eastAsia="黑体"/>
          <w:sz w:val="52"/>
          <w:szCs w:val="52"/>
        </w:rPr>
        <w:t>重要事项说明</w:t>
      </w:r>
    </w:p>
    <w:p>
      <w:pPr>
        <w:ind w:left="1041" w:leftChars="372" w:hanging="260" w:hangingChars="50"/>
        <w:jc w:val="center"/>
        <w:rPr>
          <w:rFonts w:ascii="黑体" w:eastAsia="黑体"/>
          <w:sz w:val="52"/>
          <w:szCs w:val="52"/>
        </w:rPr>
      </w:pPr>
    </w:p>
    <w:p>
      <w:pPr>
        <w:ind w:left="1041" w:leftChars="372" w:hanging="260" w:hangingChars="50"/>
        <w:jc w:val="center"/>
        <w:rPr>
          <w:rFonts w:ascii="黑体" w:eastAsia="黑体"/>
          <w:sz w:val="52"/>
          <w:szCs w:val="52"/>
        </w:rPr>
      </w:pPr>
    </w:p>
    <w:p>
      <w:pPr>
        <w:ind w:left="1041" w:leftChars="372" w:hanging="260" w:hangingChars="50"/>
        <w:jc w:val="center"/>
        <w:rPr>
          <w:rFonts w:ascii="黑体" w:eastAsia="黑体"/>
          <w:sz w:val="52"/>
          <w:szCs w:val="52"/>
        </w:rPr>
      </w:pPr>
    </w:p>
    <w:p>
      <w:pPr>
        <w:rPr>
          <w:rFonts w:ascii="黑体" w:eastAsia="黑体"/>
          <w:sz w:val="32"/>
          <w:szCs w:val="32"/>
        </w:rPr>
      </w:pPr>
      <w:r>
        <w:rPr>
          <w:rFonts w:ascii="黑体" w:eastAsia="黑体"/>
          <w:sz w:val="32"/>
          <w:szCs w:val="32"/>
        </w:rPr>
        <w:br w:type="page"/>
      </w:r>
    </w:p>
    <w:p>
      <w:pPr>
        <w:spacing w:line="600" w:lineRule="exact"/>
        <w:ind w:firstLine="640" w:firstLineChars="200"/>
        <w:rPr>
          <w:rFonts w:ascii="楷体_GB2312" w:eastAsia="楷体_GB2312"/>
          <w:sz w:val="32"/>
          <w:szCs w:val="32"/>
        </w:rPr>
      </w:pPr>
      <w:r>
        <w:rPr>
          <w:rFonts w:hint="eastAsia" w:ascii="黑体" w:eastAsia="黑体"/>
          <w:sz w:val="32"/>
          <w:szCs w:val="32"/>
        </w:rPr>
        <w:t>一、关于收支预算总表的说明</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按照综合预算的原则，</w:t>
      </w:r>
      <w:r>
        <w:rPr>
          <w:rFonts w:hint="eastAsia" w:eastAsia="仿宋_GB2312"/>
          <w:sz w:val="32"/>
          <w:szCs w:val="32"/>
          <w:lang w:val="en-US" w:eastAsia="zh-CN"/>
        </w:rPr>
        <w:t>招远市审计局</w:t>
      </w:r>
      <w:r>
        <w:rPr>
          <w:rFonts w:hint="eastAsia" w:ascii="仿宋_GB2312" w:eastAsia="仿宋_GB2312"/>
          <w:sz w:val="32"/>
          <w:szCs w:val="32"/>
        </w:rPr>
        <w:t>部门所有收入和支出均纳入部门预算管理。按照收支平衡原则，</w:t>
      </w:r>
      <w:r>
        <w:rPr>
          <w:rFonts w:hint="eastAsia" w:eastAsia="仿宋_GB2312"/>
          <w:sz w:val="32"/>
          <w:szCs w:val="32"/>
          <w:lang w:val="en-US" w:eastAsia="zh-CN"/>
        </w:rPr>
        <w:t>招远市审计局</w:t>
      </w:r>
      <w:r>
        <w:rPr>
          <w:rFonts w:hint="eastAsia" w:ascii="仿宋_GB2312" w:eastAsia="仿宋_GB2312"/>
          <w:sz w:val="32"/>
          <w:szCs w:val="32"/>
        </w:rPr>
        <w:t>部门2</w:t>
      </w:r>
      <w:r>
        <w:rPr>
          <w:rFonts w:ascii="仿宋_GB2312" w:eastAsia="仿宋_GB2312"/>
          <w:sz w:val="32"/>
          <w:szCs w:val="32"/>
        </w:rPr>
        <w:t>022</w:t>
      </w:r>
      <w:r>
        <w:rPr>
          <w:rFonts w:hint="eastAsia" w:ascii="仿宋_GB2312" w:eastAsia="仿宋_GB2312"/>
          <w:sz w:val="32"/>
          <w:szCs w:val="32"/>
        </w:rPr>
        <w:t>年收支总预算均为</w:t>
      </w:r>
      <w:r>
        <w:rPr>
          <w:rFonts w:hint="eastAsia" w:ascii="仿宋_GB2312" w:eastAsia="仿宋_GB2312"/>
          <w:sz w:val="32"/>
          <w:szCs w:val="32"/>
          <w:lang w:val="en-US" w:eastAsia="zh-CN"/>
        </w:rPr>
        <w:t>615.16</w:t>
      </w:r>
      <w:r>
        <w:rPr>
          <w:rFonts w:hint="eastAsia" w:ascii="仿宋_GB2312" w:eastAsia="仿宋_GB2312"/>
          <w:sz w:val="32"/>
          <w:szCs w:val="32"/>
        </w:rPr>
        <w:t>万元。</w:t>
      </w:r>
    </w:p>
    <w:p>
      <w:pPr>
        <w:spacing w:line="60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收入包括：一般公共预算拨款收入；</w:t>
      </w:r>
    </w:p>
    <w:p>
      <w:pPr>
        <w:spacing w:line="600" w:lineRule="exact"/>
        <w:ind w:firstLine="640" w:firstLineChars="200"/>
        <w:rPr>
          <w:rFonts w:hint="eastAsia" w:ascii="仿宋_GB2312" w:eastAsia="仿宋_GB2312"/>
          <w:sz w:val="32"/>
          <w:szCs w:val="32"/>
          <w:highlight w:val="none"/>
        </w:rPr>
      </w:pPr>
      <w:r>
        <w:rPr>
          <w:rFonts w:hint="eastAsia" w:ascii="仿宋_GB2312" w:eastAsia="仿宋_GB2312"/>
          <w:sz w:val="32"/>
          <w:szCs w:val="32"/>
          <w:highlight w:val="none"/>
        </w:rPr>
        <w:t>支出包括：一般公共服务支出、社会保障和就业支出、卫生健康支出。</w:t>
      </w:r>
    </w:p>
    <w:p>
      <w:pPr>
        <w:spacing w:line="600" w:lineRule="exact"/>
        <w:ind w:firstLine="640" w:firstLineChars="200"/>
        <w:rPr>
          <w:rFonts w:ascii="楷体_GB2312" w:eastAsia="楷体_GB2312"/>
          <w:sz w:val="32"/>
          <w:szCs w:val="32"/>
        </w:rPr>
      </w:pPr>
      <w:r>
        <w:rPr>
          <w:rFonts w:hint="eastAsia" w:ascii="黑体" w:eastAsia="黑体"/>
          <w:sz w:val="32"/>
          <w:szCs w:val="32"/>
        </w:rPr>
        <w:t>二、关于收入预算总表的说明</w:t>
      </w:r>
    </w:p>
    <w:p>
      <w:pPr>
        <w:spacing w:line="600" w:lineRule="exact"/>
        <w:ind w:firstLine="640" w:firstLineChars="200"/>
        <w:rPr>
          <w:rFonts w:ascii="仿宋_GB2312" w:eastAsia="仿宋_GB2312"/>
          <w:sz w:val="32"/>
          <w:szCs w:val="32"/>
        </w:rPr>
      </w:pPr>
      <w:r>
        <w:rPr>
          <w:rFonts w:hint="eastAsia" w:eastAsia="仿宋_GB2312"/>
          <w:sz w:val="32"/>
          <w:szCs w:val="32"/>
          <w:lang w:val="en-US" w:eastAsia="zh-CN"/>
        </w:rPr>
        <w:t>招远市审计局</w:t>
      </w:r>
      <w:r>
        <w:rPr>
          <w:rFonts w:hint="eastAsia" w:ascii="仿宋_GB2312" w:eastAsia="仿宋_GB2312"/>
          <w:sz w:val="32"/>
          <w:szCs w:val="32"/>
        </w:rPr>
        <w:t>部门2022年收入预算为</w:t>
      </w:r>
      <w:r>
        <w:rPr>
          <w:rFonts w:hint="eastAsia" w:ascii="仿宋_GB2312" w:eastAsia="仿宋_GB2312"/>
          <w:sz w:val="32"/>
          <w:szCs w:val="32"/>
          <w:lang w:val="en-US" w:eastAsia="zh-CN"/>
        </w:rPr>
        <w:t>615.16</w:t>
      </w:r>
      <w:r>
        <w:rPr>
          <w:rFonts w:hint="eastAsia" w:ascii="仿宋_GB2312" w:eastAsia="仿宋_GB2312"/>
          <w:sz w:val="32"/>
          <w:szCs w:val="32"/>
        </w:rPr>
        <w:t>万元，其中：财政拨款</w:t>
      </w:r>
      <w:r>
        <w:rPr>
          <w:rFonts w:hint="eastAsia" w:ascii="仿宋_GB2312" w:eastAsia="仿宋_GB2312"/>
          <w:sz w:val="32"/>
          <w:szCs w:val="32"/>
          <w:lang w:val="en-US" w:eastAsia="zh-CN"/>
        </w:rPr>
        <w:t>615.16</w:t>
      </w:r>
      <w:r>
        <w:rPr>
          <w:rFonts w:hint="eastAsia" w:ascii="仿宋_GB2312" w:eastAsia="仿宋_GB2312"/>
          <w:sz w:val="32"/>
          <w:szCs w:val="32"/>
        </w:rPr>
        <w:t>万元，占</w:t>
      </w:r>
      <w:r>
        <w:rPr>
          <w:rFonts w:hint="eastAsia" w:ascii="仿宋_GB2312" w:eastAsia="仿宋_GB2312"/>
          <w:sz w:val="32"/>
          <w:szCs w:val="32"/>
          <w:lang w:val="en-US" w:eastAsia="zh-CN"/>
        </w:rPr>
        <w:t>100</w:t>
      </w:r>
      <w:r>
        <w:rPr>
          <w:rFonts w:hint="eastAsia" w:ascii="仿宋_GB2312" w:eastAsia="仿宋_GB2312"/>
          <w:sz w:val="32"/>
          <w:szCs w:val="32"/>
        </w:rPr>
        <w:t>%。</w:t>
      </w:r>
    </w:p>
    <w:p>
      <w:pPr>
        <w:widowControl/>
        <w:jc w:val="left"/>
      </w:pPr>
      <w:r>
        <w:drawing>
          <wp:inline distT="0" distB="0" distL="114300" distR="114300">
            <wp:extent cx="4573270" cy="2743200"/>
            <wp:effectExtent l="4445" t="4445" r="6985" b="8255"/>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widowControl/>
        <w:ind w:firstLine="640" w:firstLineChars="200"/>
        <w:jc w:val="left"/>
        <w:rPr>
          <w:rFonts w:ascii="楷体_GB2312" w:eastAsia="楷体_GB2312"/>
          <w:sz w:val="32"/>
          <w:szCs w:val="32"/>
        </w:rPr>
      </w:pPr>
      <w:r>
        <w:rPr>
          <w:rFonts w:hint="eastAsia" w:ascii="黑体" w:eastAsia="黑体"/>
          <w:sz w:val="32"/>
          <w:szCs w:val="32"/>
        </w:rPr>
        <w:t>三、关于支出预算总表的说明</w:t>
      </w:r>
    </w:p>
    <w:p>
      <w:pPr>
        <w:spacing w:line="600" w:lineRule="exact"/>
        <w:ind w:firstLine="640" w:firstLineChars="200"/>
        <w:rPr>
          <w:rFonts w:hint="eastAsia" w:ascii="仿宋_GB2312" w:eastAsia="仿宋_GB2312"/>
          <w:sz w:val="32"/>
          <w:szCs w:val="32"/>
          <w:lang w:val="en-US" w:eastAsia="zh-CN"/>
        </w:rPr>
      </w:pPr>
      <w:r>
        <w:rPr>
          <w:rFonts w:hint="eastAsia" w:eastAsia="仿宋_GB2312"/>
          <w:sz w:val="32"/>
          <w:szCs w:val="32"/>
          <w:lang w:val="en-US" w:eastAsia="zh-CN"/>
        </w:rPr>
        <w:t>招远市审计局</w:t>
      </w:r>
      <w:r>
        <w:rPr>
          <w:rFonts w:hint="eastAsia" w:ascii="仿宋_GB2312" w:eastAsia="仿宋_GB2312"/>
          <w:sz w:val="32"/>
          <w:szCs w:val="32"/>
        </w:rPr>
        <w:t>部门2022年支出预算为</w:t>
      </w:r>
      <w:r>
        <w:rPr>
          <w:rFonts w:hint="eastAsia" w:ascii="仿宋_GB2312" w:eastAsia="仿宋_GB2312"/>
          <w:sz w:val="32"/>
          <w:szCs w:val="32"/>
          <w:lang w:val="en-US" w:eastAsia="zh-CN"/>
        </w:rPr>
        <w:t>615.16</w:t>
      </w:r>
      <w:r>
        <w:rPr>
          <w:rFonts w:hint="eastAsia" w:ascii="仿宋_GB2312" w:eastAsia="仿宋_GB2312"/>
          <w:sz w:val="32"/>
          <w:szCs w:val="32"/>
        </w:rPr>
        <w:t>万元，其中：基本支出</w:t>
      </w:r>
      <w:r>
        <w:rPr>
          <w:rFonts w:hint="eastAsia" w:ascii="仿宋_GB2312" w:eastAsia="仿宋_GB2312"/>
          <w:sz w:val="32"/>
          <w:szCs w:val="32"/>
          <w:lang w:val="en-US" w:eastAsia="zh-CN"/>
        </w:rPr>
        <w:t>535.16</w:t>
      </w:r>
      <w:r>
        <w:rPr>
          <w:rFonts w:hint="eastAsia" w:ascii="仿宋_GB2312" w:eastAsia="仿宋_GB2312"/>
          <w:sz w:val="32"/>
          <w:szCs w:val="32"/>
        </w:rPr>
        <w:t>万元，占</w:t>
      </w:r>
      <w:r>
        <w:rPr>
          <w:rFonts w:hint="eastAsia" w:ascii="仿宋_GB2312" w:eastAsia="仿宋_GB2312"/>
          <w:sz w:val="32"/>
          <w:szCs w:val="32"/>
          <w:lang w:val="en-US" w:eastAsia="zh-CN"/>
        </w:rPr>
        <w:t>87</w:t>
      </w:r>
      <w:r>
        <w:rPr>
          <w:rFonts w:hint="eastAsia" w:ascii="仿宋_GB2312" w:eastAsia="仿宋_GB2312"/>
          <w:sz w:val="32"/>
          <w:szCs w:val="32"/>
        </w:rPr>
        <w:t>%，项目支出</w:t>
      </w:r>
      <w:r>
        <w:rPr>
          <w:rFonts w:hint="eastAsia" w:ascii="仿宋_GB2312" w:eastAsia="仿宋_GB2312"/>
          <w:sz w:val="32"/>
          <w:szCs w:val="32"/>
          <w:lang w:val="en-US" w:eastAsia="zh-CN"/>
        </w:rPr>
        <w:t>80</w:t>
      </w:r>
      <w:r>
        <w:rPr>
          <w:rFonts w:hint="eastAsia" w:ascii="仿宋_GB2312" w:eastAsia="仿宋_GB2312"/>
          <w:sz w:val="32"/>
          <w:szCs w:val="32"/>
        </w:rPr>
        <w:t>万元，占</w:t>
      </w:r>
      <w:r>
        <w:rPr>
          <w:rFonts w:hint="eastAsia" w:ascii="仿宋_GB2312" w:eastAsia="仿宋_GB2312"/>
          <w:sz w:val="32"/>
          <w:szCs w:val="32"/>
          <w:lang w:val="en-US" w:eastAsia="zh-CN"/>
        </w:rPr>
        <w:t>13</w:t>
      </w:r>
      <w:r>
        <w:rPr>
          <w:rFonts w:hint="eastAsia" w:ascii="仿宋_GB2312" w:eastAsia="仿宋_GB2312"/>
          <w:sz w:val="32"/>
          <w:szCs w:val="32"/>
        </w:rPr>
        <w:t>%</w:t>
      </w:r>
      <w:r>
        <w:rPr>
          <w:rFonts w:hint="eastAsia" w:ascii="仿宋_GB2312" w:eastAsia="仿宋_GB2312"/>
          <w:sz w:val="32"/>
          <w:szCs w:val="32"/>
          <w:lang w:eastAsia="zh-CN"/>
        </w:rPr>
        <w:t>。</w:t>
      </w:r>
    </w:p>
    <w:p>
      <w:pPr>
        <w:widowControl/>
        <w:jc w:val="left"/>
        <w:rPr>
          <w:rFonts w:ascii="黑体" w:eastAsia="黑体"/>
          <w:sz w:val="32"/>
          <w:szCs w:val="32"/>
        </w:rPr>
      </w:pPr>
      <w:r>
        <w:rPr>
          <w:rFonts w:ascii="黑体" w:eastAsia="黑体"/>
          <w:sz w:val="32"/>
          <w:szCs w:val="32"/>
        </w:rPr>
        <w:br w:type="page"/>
      </w:r>
      <w:r>
        <w:drawing>
          <wp:inline distT="0" distB="0" distL="114300" distR="114300">
            <wp:extent cx="4572000" cy="2636520"/>
            <wp:effectExtent l="4445" t="4445" r="8255" b="13335"/>
            <wp:docPr id="106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ascii="黑体" w:eastAsia="黑体"/>
          <w:sz w:val="32"/>
          <w:szCs w:val="32"/>
        </w:rPr>
      </w:pPr>
      <w:r>
        <w:rPr>
          <w:rFonts w:hint="eastAsia" w:ascii="黑体" w:eastAsia="黑体"/>
          <w:sz w:val="32"/>
          <w:szCs w:val="32"/>
        </w:rPr>
        <w:t>四、关于财政拨款收支预算总表的说明</w:t>
      </w:r>
    </w:p>
    <w:p>
      <w:pPr>
        <w:spacing w:line="600" w:lineRule="exact"/>
        <w:ind w:firstLine="640" w:firstLineChars="200"/>
        <w:rPr>
          <w:rFonts w:ascii="仿宋_GB2312" w:eastAsia="仿宋_GB2312"/>
          <w:sz w:val="32"/>
          <w:szCs w:val="32"/>
        </w:rPr>
      </w:pPr>
      <w:r>
        <w:rPr>
          <w:rFonts w:hint="eastAsia" w:eastAsia="仿宋_GB2312"/>
          <w:sz w:val="32"/>
          <w:szCs w:val="32"/>
          <w:lang w:val="en-US" w:eastAsia="zh-CN"/>
        </w:rPr>
        <w:t>招远市审计局</w:t>
      </w:r>
      <w:r>
        <w:rPr>
          <w:rFonts w:hint="eastAsia" w:ascii="仿宋_GB2312" w:eastAsia="仿宋_GB2312"/>
          <w:sz w:val="32"/>
          <w:szCs w:val="32"/>
        </w:rPr>
        <w:t>部门2022年财政拨款收支总预算为</w:t>
      </w:r>
      <w:r>
        <w:rPr>
          <w:rFonts w:hint="eastAsia" w:ascii="仿宋_GB2312" w:eastAsia="仿宋_GB2312"/>
          <w:sz w:val="32"/>
          <w:szCs w:val="32"/>
          <w:lang w:val="en-US" w:eastAsia="zh-CN"/>
        </w:rPr>
        <w:t>615.16</w:t>
      </w:r>
      <w:r>
        <w:rPr>
          <w:rFonts w:hint="eastAsia" w:ascii="仿宋_GB2312" w:eastAsia="仿宋_GB2312"/>
          <w:sz w:val="32"/>
          <w:szCs w:val="32"/>
        </w:rPr>
        <w:t>万元。</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收入包括：一般公共预算</w:t>
      </w:r>
      <w:r>
        <w:rPr>
          <w:rFonts w:hint="eastAsia" w:ascii="仿宋_GB2312" w:eastAsia="仿宋_GB2312"/>
          <w:sz w:val="32"/>
          <w:szCs w:val="32"/>
          <w:lang w:val="en-US" w:eastAsia="zh-CN"/>
        </w:rPr>
        <w:t>615.16</w:t>
      </w:r>
      <w:r>
        <w:rPr>
          <w:rFonts w:hint="eastAsia" w:ascii="仿宋_GB2312" w:eastAsia="仿宋_GB2312"/>
          <w:sz w:val="32"/>
          <w:szCs w:val="32"/>
        </w:rPr>
        <w:t>万元，占</w:t>
      </w:r>
      <w:r>
        <w:rPr>
          <w:rFonts w:hint="eastAsia" w:ascii="仿宋_GB2312" w:eastAsia="仿宋_GB2312"/>
          <w:sz w:val="32"/>
          <w:szCs w:val="32"/>
          <w:lang w:val="en-US" w:eastAsia="zh-CN"/>
        </w:rPr>
        <w:t>100</w:t>
      </w:r>
      <w:r>
        <w:rPr>
          <w:rFonts w:hint="eastAsia" w:ascii="仿宋_GB2312" w:eastAsia="仿宋_GB2312"/>
          <w:sz w:val="32"/>
          <w:szCs w:val="32"/>
        </w:rPr>
        <w:t>%。</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支出包括：一般公共服务（类）支出540.42万元，占</w:t>
      </w:r>
      <w:r>
        <w:rPr>
          <w:rFonts w:hint="eastAsia" w:ascii="仿宋_GB2312" w:eastAsia="仿宋_GB2312"/>
          <w:sz w:val="32"/>
          <w:szCs w:val="32"/>
          <w:lang w:val="en-US" w:eastAsia="zh-CN"/>
        </w:rPr>
        <w:t>87.85</w:t>
      </w:r>
      <w:r>
        <w:rPr>
          <w:rFonts w:hint="eastAsia" w:ascii="仿宋_GB2312" w:eastAsia="仿宋_GB2312"/>
          <w:sz w:val="32"/>
          <w:szCs w:val="32"/>
        </w:rPr>
        <w:t>%；</w:t>
      </w:r>
      <w:r>
        <w:rPr>
          <w:rFonts w:hint="eastAsia" w:ascii="仿宋_GB2312" w:eastAsia="仿宋_GB2312"/>
          <w:sz w:val="32"/>
          <w:szCs w:val="32"/>
          <w:lang w:val="en-US" w:eastAsia="zh-CN"/>
        </w:rPr>
        <w:t>社会保障和就业支出（类）44.29万元</w:t>
      </w:r>
      <w:r>
        <w:rPr>
          <w:rFonts w:hint="eastAsia" w:ascii="仿宋_GB2312" w:eastAsia="仿宋_GB2312"/>
          <w:sz w:val="32"/>
          <w:szCs w:val="32"/>
        </w:rPr>
        <w:t>，占</w:t>
      </w:r>
      <w:r>
        <w:rPr>
          <w:rFonts w:hint="eastAsia" w:ascii="仿宋_GB2312" w:eastAsia="仿宋_GB2312"/>
          <w:sz w:val="32"/>
          <w:szCs w:val="32"/>
          <w:lang w:val="en-US" w:eastAsia="zh-CN"/>
        </w:rPr>
        <w:t>7.20</w:t>
      </w:r>
      <w:r>
        <w:rPr>
          <w:rFonts w:hint="eastAsia" w:ascii="仿宋_GB2312" w:eastAsia="仿宋_GB2312"/>
          <w:sz w:val="32"/>
          <w:szCs w:val="32"/>
        </w:rPr>
        <w:t>%；</w:t>
      </w:r>
      <w:r>
        <w:rPr>
          <w:rFonts w:hint="eastAsia" w:ascii="仿宋_GB2312" w:eastAsia="仿宋_GB2312"/>
          <w:sz w:val="32"/>
          <w:szCs w:val="32"/>
          <w:lang w:val="en-US" w:eastAsia="zh-CN"/>
        </w:rPr>
        <w:t>卫生健康支出（类）30.45万元，占比4.95%</w:t>
      </w:r>
      <w:r>
        <w:rPr>
          <w:rFonts w:hint="eastAsia" w:ascii="仿宋_GB2312" w:eastAsia="仿宋_GB2312"/>
          <w:sz w:val="32"/>
          <w:szCs w:val="32"/>
        </w:rPr>
        <w:t>。</w:t>
      </w:r>
    </w:p>
    <w:p>
      <w:pPr>
        <w:widowControl/>
        <w:jc w:val="left"/>
        <w:rPr>
          <w:rFonts w:ascii="黑体" w:eastAsia="黑体"/>
          <w:sz w:val="32"/>
          <w:szCs w:val="32"/>
        </w:rPr>
      </w:pPr>
      <w:r>
        <w:drawing>
          <wp:inline distT="0" distB="0" distL="114300" distR="114300">
            <wp:extent cx="5267325" cy="2118360"/>
            <wp:effectExtent l="4445" t="4445" r="11430" b="10795"/>
            <wp:docPr id="3"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r>
        <w:rPr>
          <w:rFonts w:ascii="黑体" w:eastAsia="黑体"/>
          <w:sz w:val="32"/>
          <w:szCs w:val="32"/>
        </w:rPr>
        <w:br w:type="page"/>
      </w:r>
    </w:p>
    <w:p>
      <w:pPr>
        <w:spacing w:line="600" w:lineRule="exact"/>
        <w:ind w:firstLine="600"/>
        <w:rPr>
          <w:rFonts w:ascii="黑体" w:eastAsia="黑体"/>
          <w:sz w:val="32"/>
          <w:szCs w:val="32"/>
        </w:rPr>
      </w:pPr>
      <w:r>
        <w:rPr>
          <w:rFonts w:hint="eastAsia" w:ascii="黑体" w:eastAsia="黑体"/>
          <w:sz w:val="32"/>
          <w:szCs w:val="32"/>
        </w:rPr>
        <w:t>五、关于一般公共预算支出表的说明</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（一）一般公共预算当年拨款规模变化情况</w:t>
      </w:r>
    </w:p>
    <w:p>
      <w:pPr>
        <w:spacing w:line="600" w:lineRule="exact"/>
        <w:ind w:firstLine="640" w:firstLineChars="200"/>
        <w:rPr>
          <w:rFonts w:ascii="仿宋_GB2312" w:eastAsia="仿宋_GB2312"/>
          <w:sz w:val="32"/>
          <w:szCs w:val="32"/>
        </w:rPr>
      </w:pPr>
      <w:r>
        <w:rPr>
          <w:rFonts w:hint="eastAsia" w:ascii="仿宋_GB2312" w:eastAsia="仿宋_GB2312"/>
          <w:sz w:val="32"/>
          <w:szCs w:val="32"/>
          <w:lang w:val="en-US" w:eastAsia="zh-CN"/>
        </w:rPr>
        <w:t>招远市审计局</w:t>
      </w:r>
      <w:r>
        <w:rPr>
          <w:rFonts w:hint="eastAsia" w:ascii="仿宋_GB2312" w:eastAsia="仿宋_GB2312"/>
          <w:sz w:val="32"/>
          <w:szCs w:val="32"/>
        </w:rPr>
        <w:t>部门2022年一般公共预算拨款</w:t>
      </w:r>
      <w:r>
        <w:rPr>
          <w:rFonts w:hint="eastAsia" w:ascii="仿宋_GB2312" w:eastAsia="仿宋_GB2312"/>
          <w:sz w:val="32"/>
          <w:szCs w:val="32"/>
          <w:lang w:val="en-US" w:eastAsia="zh-CN"/>
        </w:rPr>
        <w:t>615.16</w:t>
      </w:r>
      <w:r>
        <w:rPr>
          <w:rFonts w:hint="eastAsia" w:ascii="仿宋_GB2312" w:eastAsia="仿宋_GB2312"/>
          <w:sz w:val="32"/>
          <w:szCs w:val="32"/>
        </w:rPr>
        <w:t>万元，比上年增加</w:t>
      </w:r>
      <w:r>
        <w:rPr>
          <w:rFonts w:hint="eastAsia" w:ascii="仿宋_GB2312" w:eastAsia="仿宋_GB2312"/>
          <w:sz w:val="32"/>
          <w:szCs w:val="32"/>
          <w:lang w:val="en-US" w:eastAsia="zh-CN"/>
        </w:rPr>
        <w:t>23.59</w:t>
      </w:r>
      <w:r>
        <w:rPr>
          <w:rFonts w:hint="eastAsia" w:ascii="仿宋_GB2312" w:eastAsia="仿宋_GB2312"/>
          <w:sz w:val="32"/>
          <w:szCs w:val="32"/>
        </w:rPr>
        <w:t>万元，增长</w:t>
      </w:r>
      <w:r>
        <w:rPr>
          <w:rFonts w:hint="eastAsia" w:ascii="仿宋_GB2312" w:eastAsia="仿宋_GB2312"/>
          <w:sz w:val="32"/>
          <w:szCs w:val="32"/>
          <w:lang w:val="en-US" w:eastAsia="zh-CN"/>
        </w:rPr>
        <w:t>3.83</w:t>
      </w:r>
      <w:r>
        <w:rPr>
          <w:rFonts w:hint="eastAsia" w:ascii="仿宋_GB2312" w:eastAsia="仿宋_GB2312"/>
          <w:sz w:val="32"/>
          <w:szCs w:val="32"/>
        </w:rPr>
        <w:t>%，主要原因</w:t>
      </w:r>
      <w:r>
        <w:rPr>
          <w:rFonts w:hint="eastAsia" w:ascii="仿宋_GB2312" w:eastAsia="仿宋_GB2312"/>
          <w:sz w:val="32"/>
          <w:szCs w:val="32"/>
          <w:lang w:val="en-US" w:eastAsia="zh-CN"/>
        </w:rPr>
        <w:t>是人员较2021年增多，人员经费增加</w:t>
      </w:r>
      <w:r>
        <w:rPr>
          <w:rFonts w:hint="eastAsia" w:ascii="仿宋_GB2312" w:eastAsia="仿宋_GB2312"/>
          <w:sz w:val="32"/>
          <w:szCs w:val="32"/>
        </w:rPr>
        <w:t>。</w:t>
      </w:r>
    </w:p>
    <w:p>
      <w:pPr>
        <w:widowControl/>
        <w:jc w:val="left"/>
        <w:rPr>
          <w:rFonts w:hint="eastAsia" w:ascii="仿宋_GB2312" w:eastAsia="仿宋_GB2312"/>
          <w:sz w:val="32"/>
          <w:szCs w:val="32"/>
          <w:lang w:val="en-US" w:eastAsia="zh-CN"/>
        </w:rPr>
      </w:pPr>
      <w:r>
        <w:drawing>
          <wp:inline distT="0" distB="0" distL="114300" distR="114300">
            <wp:extent cx="4573270" cy="2743200"/>
            <wp:effectExtent l="4445" t="4445" r="6985" b="8255"/>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ascii="仿宋_GB2312" w:eastAsia="仿宋_GB2312"/>
          <w:sz w:val="32"/>
          <w:szCs w:val="32"/>
          <w:lang w:val="en-US" w:eastAsia="zh-CN"/>
        </w:rPr>
        <w:t xml:space="preserve"> </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（二）一般公共预算当年拨款结构情况</w:t>
      </w:r>
    </w:p>
    <w:p>
      <w:pPr>
        <w:spacing w:line="600" w:lineRule="exact"/>
        <w:ind w:firstLine="640" w:firstLineChars="200"/>
        <w:rPr>
          <w:rFonts w:hint="eastAsia" w:ascii="仿宋_GB2312" w:eastAsia="仿宋_GB2312"/>
          <w:sz w:val="32"/>
          <w:szCs w:val="32"/>
          <w:lang w:val="en-US" w:eastAsia="zh-CN"/>
        </w:rPr>
      </w:pPr>
      <w:r>
        <w:rPr>
          <w:rFonts w:hint="eastAsia" w:eastAsia="仿宋_GB2312"/>
          <w:sz w:val="32"/>
          <w:szCs w:val="32"/>
          <w:lang w:val="en-US" w:eastAsia="zh-CN"/>
        </w:rPr>
        <w:t>招远市审计局</w:t>
      </w:r>
      <w:r>
        <w:rPr>
          <w:rFonts w:hint="eastAsia" w:ascii="仿宋_GB2312" w:eastAsia="仿宋_GB2312"/>
          <w:sz w:val="32"/>
          <w:szCs w:val="32"/>
        </w:rPr>
        <w:t>部门2022年一般公共预算支出为</w:t>
      </w:r>
      <w:r>
        <w:rPr>
          <w:rFonts w:hint="eastAsia" w:ascii="仿宋_GB2312" w:eastAsia="仿宋_GB2312"/>
          <w:sz w:val="32"/>
          <w:szCs w:val="32"/>
          <w:lang w:val="en-US" w:eastAsia="zh-CN"/>
        </w:rPr>
        <w:t>615.16</w:t>
      </w:r>
      <w:r>
        <w:rPr>
          <w:rFonts w:hint="eastAsia" w:ascii="仿宋_GB2312" w:eastAsia="仿宋_GB2312"/>
          <w:sz w:val="32"/>
          <w:szCs w:val="32"/>
        </w:rPr>
        <w:t>万元，</w:t>
      </w:r>
      <w:r>
        <w:rPr>
          <w:rFonts w:hint="eastAsia" w:ascii="仿宋_GB2312" w:eastAsia="仿宋_GB2312"/>
          <w:sz w:val="32"/>
          <w:szCs w:val="32"/>
          <w:lang w:val="en-US" w:eastAsia="zh-CN"/>
        </w:rPr>
        <w:t>其中：</w:t>
      </w:r>
      <w:r>
        <w:rPr>
          <w:rFonts w:hint="eastAsia" w:ascii="仿宋_GB2312" w:eastAsia="仿宋_GB2312"/>
          <w:sz w:val="32"/>
          <w:szCs w:val="32"/>
        </w:rPr>
        <w:t>一般公共服务（类）支出540.42万元，占</w:t>
      </w:r>
      <w:r>
        <w:rPr>
          <w:rFonts w:hint="eastAsia" w:ascii="仿宋_GB2312" w:eastAsia="仿宋_GB2312"/>
          <w:sz w:val="32"/>
          <w:szCs w:val="32"/>
          <w:lang w:val="en-US" w:eastAsia="zh-CN"/>
        </w:rPr>
        <w:t>87.85</w:t>
      </w:r>
      <w:r>
        <w:rPr>
          <w:rFonts w:hint="eastAsia" w:ascii="仿宋_GB2312" w:eastAsia="仿宋_GB2312"/>
          <w:sz w:val="32"/>
          <w:szCs w:val="32"/>
        </w:rPr>
        <w:t>%；</w:t>
      </w:r>
      <w:r>
        <w:rPr>
          <w:rFonts w:hint="eastAsia" w:ascii="仿宋_GB2312" w:eastAsia="仿宋_GB2312"/>
          <w:sz w:val="32"/>
          <w:szCs w:val="32"/>
          <w:lang w:val="en-US" w:eastAsia="zh-CN"/>
        </w:rPr>
        <w:t>社会保障和就业支出（类）44.29万元</w:t>
      </w:r>
      <w:r>
        <w:rPr>
          <w:rFonts w:hint="eastAsia" w:ascii="仿宋_GB2312" w:eastAsia="仿宋_GB2312"/>
          <w:sz w:val="32"/>
          <w:szCs w:val="32"/>
        </w:rPr>
        <w:t>，占</w:t>
      </w:r>
      <w:r>
        <w:rPr>
          <w:rFonts w:hint="eastAsia" w:ascii="仿宋_GB2312" w:eastAsia="仿宋_GB2312"/>
          <w:sz w:val="32"/>
          <w:szCs w:val="32"/>
          <w:lang w:val="en-US" w:eastAsia="zh-CN"/>
        </w:rPr>
        <w:t>7.2</w:t>
      </w:r>
      <w:r>
        <w:rPr>
          <w:rFonts w:hint="eastAsia" w:ascii="仿宋_GB2312" w:eastAsia="仿宋_GB2312"/>
          <w:sz w:val="32"/>
          <w:szCs w:val="32"/>
        </w:rPr>
        <w:t>%；</w:t>
      </w:r>
      <w:r>
        <w:rPr>
          <w:rFonts w:hint="eastAsia" w:ascii="仿宋_GB2312" w:eastAsia="仿宋_GB2312"/>
          <w:sz w:val="32"/>
          <w:szCs w:val="32"/>
          <w:lang w:val="en-US" w:eastAsia="zh-CN"/>
        </w:rPr>
        <w:t>卫生健康支出（类）30.45万元，占比4.95%。</w:t>
      </w:r>
    </w:p>
    <w:p>
      <w:pPr>
        <w:pStyle w:val="2"/>
        <w:rPr>
          <w:rFonts w:ascii="仿宋_GB2312" w:eastAsia="仿宋_GB2312"/>
          <w:b/>
          <w:sz w:val="32"/>
          <w:szCs w:val="32"/>
          <w:highlight w:val="yellow"/>
        </w:rPr>
      </w:pPr>
      <w:r>
        <w:drawing>
          <wp:inline distT="0" distB="0" distL="114300" distR="114300">
            <wp:extent cx="5267325" cy="2118360"/>
            <wp:effectExtent l="4445" t="4445" r="11430" b="10795"/>
            <wp:docPr id="1072"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0" w:firstLineChars="200"/>
        <w:rPr>
          <w:rFonts w:ascii="楷体_GB2312" w:eastAsia="楷体_GB2312"/>
          <w:sz w:val="32"/>
          <w:szCs w:val="32"/>
        </w:rPr>
      </w:pPr>
      <w:bookmarkStart w:id="4" w:name="_Hlk95326847"/>
      <w:r>
        <w:rPr>
          <w:rFonts w:hint="eastAsia" w:ascii="楷体_GB2312" w:eastAsia="楷体_GB2312"/>
          <w:sz w:val="32"/>
          <w:szCs w:val="32"/>
        </w:rPr>
        <w:t>（三）一般公共预算当年拨款具体使用情况</w:t>
      </w:r>
    </w:p>
    <w:bookmarkEnd w:id="4"/>
    <w:p>
      <w:pPr>
        <w:spacing w:line="600" w:lineRule="exact"/>
        <w:ind w:firstLine="640" w:firstLineChars="200"/>
        <w:rPr>
          <w:rFonts w:ascii="仿宋_GB2312" w:eastAsia="仿宋_GB2312"/>
          <w:sz w:val="32"/>
          <w:szCs w:val="32"/>
        </w:rPr>
      </w:pPr>
      <w:r>
        <w:rPr>
          <w:rFonts w:hint="eastAsia" w:ascii="仿宋_GB2312" w:eastAsia="仿宋_GB2312"/>
          <w:sz w:val="32"/>
          <w:szCs w:val="32"/>
        </w:rPr>
        <w:t>1.一般公共服务（类）</w:t>
      </w:r>
      <w:r>
        <w:rPr>
          <w:rFonts w:hint="eastAsia" w:ascii="仿宋_GB2312" w:eastAsia="仿宋_GB2312"/>
          <w:sz w:val="32"/>
          <w:szCs w:val="32"/>
          <w:lang w:val="en-US" w:eastAsia="zh-CN"/>
        </w:rPr>
        <w:t>审计事务</w:t>
      </w:r>
      <w:r>
        <w:rPr>
          <w:rFonts w:hint="eastAsia" w:ascii="仿宋_GB2312" w:eastAsia="仿宋_GB2312"/>
          <w:sz w:val="32"/>
          <w:szCs w:val="32"/>
        </w:rPr>
        <w:t>（款）行政运行（项）支出206.12万元，比上年增加（减少）</w:t>
      </w:r>
      <w:r>
        <w:rPr>
          <w:rFonts w:hint="eastAsia" w:ascii="仿宋_GB2312" w:eastAsia="仿宋_GB2312"/>
          <w:sz w:val="32"/>
          <w:szCs w:val="32"/>
          <w:lang w:val="en-US" w:eastAsia="zh-CN"/>
        </w:rPr>
        <w:t>23.63</w:t>
      </w:r>
      <w:r>
        <w:rPr>
          <w:rFonts w:hint="eastAsia" w:ascii="仿宋_GB2312" w:eastAsia="仿宋_GB2312"/>
          <w:sz w:val="32"/>
          <w:szCs w:val="32"/>
        </w:rPr>
        <w:t>万元，增长</w:t>
      </w:r>
      <w:r>
        <w:rPr>
          <w:rFonts w:hint="eastAsia" w:ascii="仿宋_GB2312" w:eastAsia="仿宋_GB2312"/>
          <w:sz w:val="32"/>
          <w:szCs w:val="32"/>
          <w:lang w:val="en-US" w:eastAsia="zh-CN"/>
        </w:rPr>
        <w:t>12.95</w:t>
      </w:r>
      <w:r>
        <w:rPr>
          <w:rFonts w:hint="eastAsia" w:ascii="仿宋_GB2312" w:eastAsia="仿宋_GB2312"/>
          <w:sz w:val="32"/>
          <w:szCs w:val="32"/>
        </w:rPr>
        <w:t>%，主要原因是</w:t>
      </w:r>
      <w:r>
        <w:rPr>
          <w:rFonts w:hint="eastAsia" w:ascii="仿宋_GB2312" w:eastAsia="仿宋_GB2312"/>
          <w:sz w:val="32"/>
          <w:szCs w:val="32"/>
          <w:lang w:val="en-US" w:eastAsia="zh-CN"/>
        </w:rPr>
        <w:t>局机关人员增加导致人员经费增长</w:t>
      </w:r>
      <w:r>
        <w:rPr>
          <w:rFonts w:hint="eastAsia" w:ascii="仿宋_GB2312" w:eastAsia="仿宋_GB2312"/>
          <w:sz w:val="32"/>
          <w:szCs w:val="32"/>
          <w:lang w:eastAsia="zh-CN"/>
        </w:rPr>
        <w:t>；</w:t>
      </w:r>
      <w:r>
        <w:rPr>
          <w:rFonts w:hint="eastAsia" w:ascii="仿宋_GB2312" w:eastAsia="仿宋_GB2312"/>
          <w:sz w:val="32"/>
          <w:szCs w:val="32"/>
        </w:rPr>
        <w:t>一般公共服务（类）</w:t>
      </w:r>
      <w:r>
        <w:rPr>
          <w:rFonts w:hint="eastAsia" w:ascii="仿宋_GB2312" w:eastAsia="仿宋_GB2312"/>
          <w:sz w:val="32"/>
          <w:szCs w:val="32"/>
          <w:lang w:val="en-US" w:eastAsia="zh-CN"/>
        </w:rPr>
        <w:t>审计事务</w:t>
      </w:r>
      <w:r>
        <w:rPr>
          <w:rFonts w:hint="eastAsia" w:ascii="仿宋_GB2312" w:eastAsia="仿宋_GB2312"/>
          <w:sz w:val="32"/>
          <w:szCs w:val="32"/>
        </w:rPr>
        <w:t>（款）</w:t>
      </w:r>
      <w:r>
        <w:rPr>
          <w:rFonts w:hint="eastAsia" w:ascii="仿宋_GB2312" w:eastAsia="仿宋_GB2312"/>
          <w:sz w:val="32"/>
          <w:szCs w:val="32"/>
          <w:lang w:val="en-US" w:eastAsia="zh-CN"/>
        </w:rPr>
        <w:t>事业运行</w:t>
      </w:r>
      <w:r>
        <w:rPr>
          <w:rFonts w:hint="eastAsia" w:ascii="仿宋_GB2312" w:eastAsia="仿宋_GB2312"/>
          <w:sz w:val="32"/>
          <w:szCs w:val="32"/>
        </w:rPr>
        <w:t>（项）支出</w:t>
      </w:r>
      <w:r>
        <w:rPr>
          <w:rFonts w:hint="eastAsia" w:ascii="仿宋_GB2312" w:eastAsia="仿宋_GB2312"/>
          <w:sz w:val="32"/>
          <w:szCs w:val="32"/>
          <w:lang w:val="en-US" w:eastAsia="zh-CN"/>
        </w:rPr>
        <w:t>254.30</w:t>
      </w:r>
      <w:r>
        <w:rPr>
          <w:rFonts w:hint="eastAsia" w:ascii="仿宋_GB2312" w:eastAsia="仿宋_GB2312"/>
          <w:sz w:val="32"/>
          <w:szCs w:val="32"/>
        </w:rPr>
        <w:t>万元，比上年</w:t>
      </w:r>
      <w:r>
        <w:rPr>
          <w:rFonts w:hint="eastAsia" w:ascii="仿宋_GB2312" w:eastAsia="仿宋_GB2312"/>
          <w:sz w:val="32"/>
          <w:szCs w:val="32"/>
          <w:lang w:val="en-US" w:eastAsia="zh-CN"/>
        </w:rPr>
        <w:t>增加4.76</w:t>
      </w:r>
      <w:r>
        <w:rPr>
          <w:rFonts w:hint="eastAsia" w:ascii="仿宋_GB2312" w:eastAsia="仿宋_GB2312"/>
          <w:sz w:val="32"/>
          <w:szCs w:val="32"/>
        </w:rPr>
        <w:t>万元，</w:t>
      </w:r>
      <w:r>
        <w:rPr>
          <w:rFonts w:hint="eastAsia" w:ascii="仿宋_GB2312" w:eastAsia="仿宋_GB2312"/>
          <w:sz w:val="32"/>
          <w:szCs w:val="32"/>
          <w:lang w:val="en-US" w:eastAsia="zh-CN"/>
        </w:rPr>
        <w:t>增长1.91</w:t>
      </w:r>
      <w:r>
        <w:rPr>
          <w:rFonts w:hint="eastAsia" w:ascii="仿宋_GB2312" w:eastAsia="仿宋_GB2312"/>
          <w:sz w:val="32"/>
          <w:szCs w:val="32"/>
        </w:rPr>
        <w:t>%，主要原因是</w:t>
      </w:r>
      <w:r>
        <w:rPr>
          <w:rFonts w:hint="eastAsia" w:ascii="仿宋_GB2312" w:eastAsia="仿宋_GB2312"/>
          <w:sz w:val="32"/>
          <w:szCs w:val="32"/>
          <w:lang w:val="en-US" w:eastAsia="zh-CN"/>
        </w:rPr>
        <w:t>人员增加导致人员经费增长</w:t>
      </w:r>
      <w:r>
        <w:rPr>
          <w:rFonts w:hint="eastAsia" w:ascii="仿宋_GB2312" w:eastAsia="仿宋_GB2312"/>
          <w:sz w:val="32"/>
          <w:szCs w:val="32"/>
          <w:lang w:eastAsia="zh-CN"/>
        </w:rPr>
        <w:t>；</w:t>
      </w:r>
      <w:r>
        <w:rPr>
          <w:rFonts w:hint="eastAsia" w:ascii="仿宋_GB2312" w:eastAsia="仿宋_GB2312"/>
          <w:sz w:val="32"/>
          <w:szCs w:val="32"/>
        </w:rPr>
        <w:t>一般公共服务（类）</w:t>
      </w:r>
      <w:r>
        <w:rPr>
          <w:rFonts w:hint="eastAsia" w:ascii="仿宋_GB2312" w:eastAsia="仿宋_GB2312"/>
          <w:sz w:val="32"/>
          <w:szCs w:val="32"/>
          <w:lang w:val="en-US" w:eastAsia="zh-CN"/>
        </w:rPr>
        <w:t>审计事务</w:t>
      </w:r>
      <w:r>
        <w:rPr>
          <w:rFonts w:hint="eastAsia" w:ascii="仿宋_GB2312" w:eastAsia="仿宋_GB2312"/>
          <w:sz w:val="32"/>
          <w:szCs w:val="32"/>
        </w:rPr>
        <w:t>（款）</w:t>
      </w:r>
      <w:r>
        <w:rPr>
          <w:rFonts w:hint="eastAsia" w:ascii="仿宋_GB2312" w:eastAsia="仿宋_GB2312"/>
          <w:sz w:val="32"/>
          <w:szCs w:val="32"/>
          <w:lang w:val="en-US" w:eastAsia="zh-CN"/>
        </w:rPr>
        <w:t>审计业务</w:t>
      </w:r>
      <w:r>
        <w:rPr>
          <w:rFonts w:hint="eastAsia" w:ascii="仿宋_GB2312" w:eastAsia="仿宋_GB2312"/>
          <w:sz w:val="32"/>
          <w:szCs w:val="32"/>
        </w:rPr>
        <w:t>（项）支出</w:t>
      </w:r>
      <w:r>
        <w:rPr>
          <w:rFonts w:hint="eastAsia" w:ascii="仿宋_GB2312" w:eastAsia="仿宋_GB2312"/>
          <w:sz w:val="32"/>
          <w:szCs w:val="32"/>
          <w:lang w:val="en-US" w:eastAsia="zh-CN"/>
        </w:rPr>
        <w:t>80</w:t>
      </w:r>
      <w:r>
        <w:rPr>
          <w:rFonts w:hint="eastAsia" w:ascii="仿宋_GB2312" w:eastAsia="仿宋_GB2312"/>
          <w:sz w:val="32"/>
          <w:szCs w:val="32"/>
        </w:rPr>
        <w:t>万元，比上年增加</w:t>
      </w:r>
      <w:r>
        <w:rPr>
          <w:rFonts w:hint="eastAsia" w:ascii="仿宋_GB2312" w:eastAsia="仿宋_GB2312"/>
          <w:sz w:val="32"/>
          <w:szCs w:val="32"/>
          <w:lang w:val="en-US" w:eastAsia="zh-CN"/>
        </w:rPr>
        <w:t>1</w:t>
      </w:r>
      <w:r>
        <w:rPr>
          <w:rFonts w:hint="eastAsia" w:ascii="仿宋_GB2312" w:eastAsia="仿宋_GB2312"/>
          <w:sz w:val="32"/>
          <w:szCs w:val="32"/>
        </w:rPr>
        <w:t>万元，增长</w:t>
      </w:r>
      <w:r>
        <w:rPr>
          <w:rFonts w:hint="eastAsia" w:ascii="仿宋_GB2312" w:eastAsia="仿宋_GB2312"/>
          <w:sz w:val="32"/>
          <w:szCs w:val="32"/>
          <w:lang w:val="en-US" w:eastAsia="zh-CN"/>
        </w:rPr>
        <w:t>1.27</w:t>
      </w:r>
      <w:r>
        <w:rPr>
          <w:rFonts w:hint="eastAsia" w:ascii="仿宋_GB2312" w:eastAsia="仿宋_GB2312"/>
          <w:sz w:val="32"/>
          <w:szCs w:val="32"/>
        </w:rPr>
        <w:t>%，主要原因是</w:t>
      </w:r>
      <w:r>
        <w:rPr>
          <w:rFonts w:hint="eastAsia" w:ascii="仿宋_GB2312" w:eastAsia="仿宋_GB2312"/>
          <w:sz w:val="32"/>
          <w:szCs w:val="32"/>
          <w:lang w:val="en-US" w:eastAsia="zh-CN"/>
        </w:rPr>
        <w:t>审计业务费增加</w:t>
      </w:r>
      <w:r>
        <w:rPr>
          <w:rFonts w:hint="eastAsia" w:ascii="仿宋_GB2312" w:eastAsia="仿宋_GB2312"/>
          <w:sz w:val="32"/>
          <w:szCs w:val="32"/>
        </w:rPr>
        <w:t>。</w:t>
      </w:r>
    </w:p>
    <w:p>
      <w:pPr>
        <w:spacing w:line="600" w:lineRule="exact"/>
        <w:ind w:firstLine="640" w:firstLineChars="200"/>
        <w:rPr>
          <w:rFonts w:hint="eastAsia" w:ascii="仿宋_GB2312" w:hAnsi="Times New Roman" w:eastAsia="仿宋_GB2312" w:cs="仿宋_GB2312"/>
          <w:kern w:val="2"/>
          <w:sz w:val="32"/>
          <w:szCs w:val="32"/>
          <w:lang w:val="en-US" w:eastAsia="zh-CN" w:bidi="ar"/>
        </w:rPr>
      </w:pPr>
      <w:r>
        <w:rPr>
          <w:rFonts w:hint="eastAsia" w:ascii="仿宋_GB2312" w:eastAsia="仿宋_GB2312"/>
          <w:sz w:val="32"/>
          <w:szCs w:val="32"/>
        </w:rPr>
        <w:t>2.</w:t>
      </w:r>
      <w:r>
        <w:rPr>
          <w:rFonts w:hint="eastAsia" w:ascii="仿宋_GB2312" w:hAnsi="Times New Roman" w:eastAsia="仿宋_GB2312" w:cs="仿宋_GB2312"/>
          <w:kern w:val="2"/>
          <w:sz w:val="32"/>
          <w:szCs w:val="32"/>
          <w:lang w:val="en-US" w:eastAsia="zh-CN" w:bidi="ar"/>
        </w:rPr>
        <w:t>社会保障和就业支出（类）行政事业单位养老支出（款）机关事业单位基本养老保险缴费支出（项）44.29万元，比上年增长</w:t>
      </w:r>
      <w:r>
        <w:rPr>
          <w:rFonts w:hint="eastAsia" w:ascii="仿宋_GB2312" w:eastAsia="仿宋_GB2312" w:cs="仿宋_GB2312"/>
          <w:kern w:val="2"/>
          <w:sz w:val="32"/>
          <w:szCs w:val="32"/>
          <w:lang w:val="en-US" w:eastAsia="zh-CN" w:bidi="ar"/>
        </w:rPr>
        <w:t>3.12</w:t>
      </w:r>
      <w:r>
        <w:rPr>
          <w:rFonts w:hint="eastAsia" w:ascii="仿宋_GB2312" w:hAnsi="Times New Roman" w:eastAsia="仿宋_GB2312" w:cs="仿宋_GB2312"/>
          <w:kern w:val="2"/>
          <w:sz w:val="32"/>
          <w:szCs w:val="32"/>
          <w:lang w:val="en-US" w:eastAsia="zh-CN" w:bidi="ar"/>
        </w:rPr>
        <w:t>%，主要原因是基本养老保险费单位缴费基数增长。</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仿宋_GB2312" w:hAnsi="Times New Roman" w:eastAsia="仿宋_GB2312" w:cs="仿宋_GB2312"/>
          <w:kern w:val="2"/>
          <w:sz w:val="32"/>
          <w:szCs w:val="32"/>
          <w:lang w:val="en-US" w:eastAsia="zh-CN" w:bidi="ar"/>
        </w:rPr>
      </w:pPr>
      <w:r>
        <w:rPr>
          <w:rFonts w:hint="eastAsia" w:ascii="仿宋_GB2312" w:hAnsi="Times New Roman" w:eastAsia="仿宋_GB2312" w:cs="仿宋_GB2312"/>
          <w:kern w:val="2"/>
          <w:sz w:val="32"/>
          <w:szCs w:val="32"/>
          <w:lang w:val="en-US" w:eastAsia="zh-CN" w:bidi="ar"/>
        </w:rPr>
        <w:t>3、卫生健康支出（类）行政事业单位医疗（款）行政单位医疗（项）7.3</w:t>
      </w:r>
      <w:r>
        <w:rPr>
          <w:rFonts w:hint="eastAsia" w:ascii="仿宋_GB2312" w:eastAsia="仿宋_GB2312" w:cs="仿宋_GB2312"/>
          <w:kern w:val="2"/>
          <w:sz w:val="32"/>
          <w:szCs w:val="32"/>
          <w:lang w:val="en-US" w:eastAsia="zh-CN" w:bidi="ar"/>
        </w:rPr>
        <w:t>2</w:t>
      </w:r>
      <w:r>
        <w:rPr>
          <w:rFonts w:hint="eastAsia" w:ascii="仿宋_GB2312" w:hAnsi="Times New Roman" w:eastAsia="仿宋_GB2312" w:cs="仿宋_GB2312"/>
          <w:kern w:val="2"/>
          <w:sz w:val="32"/>
          <w:szCs w:val="32"/>
          <w:lang w:val="en-US" w:eastAsia="zh-CN" w:bidi="ar"/>
        </w:rPr>
        <w:t>万元，比上年</w:t>
      </w:r>
      <w:r>
        <w:rPr>
          <w:rFonts w:hint="eastAsia" w:ascii="仿宋_GB2312" w:eastAsia="仿宋_GB2312" w:cs="仿宋_GB2312"/>
          <w:kern w:val="2"/>
          <w:sz w:val="32"/>
          <w:szCs w:val="32"/>
          <w:lang w:val="en-US" w:eastAsia="zh-CN" w:bidi="ar"/>
        </w:rPr>
        <w:t>增长0.27</w:t>
      </w:r>
      <w:r>
        <w:rPr>
          <w:rFonts w:hint="eastAsia" w:ascii="仿宋_GB2312" w:hAnsi="Times New Roman" w:eastAsia="仿宋_GB2312" w:cs="仿宋_GB2312"/>
          <w:kern w:val="2"/>
          <w:sz w:val="32"/>
          <w:szCs w:val="32"/>
          <w:lang w:val="en-US" w:eastAsia="zh-CN" w:bidi="ar"/>
        </w:rPr>
        <w:t>%，主要原因是</w:t>
      </w:r>
      <w:r>
        <w:rPr>
          <w:rFonts w:hint="eastAsia" w:ascii="仿宋_GB2312" w:eastAsia="仿宋_GB2312" w:cs="仿宋_GB2312"/>
          <w:kern w:val="2"/>
          <w:sz w:val="32"/>
          <w:szCs w:val="32"/>
          <w:lang w:val="en-US" w:eastAsia="zh-CN" w:bidi="ar"/>
        </w:rPr>
        <w:t>缴费基数调整</w:t>
      </w:r>
      <w:r>
        <w:rPr>
          <w:rFonts w:hint="eastAsia" w:ascii="仿宋_GB2312" w:hAnsi="Times New Roman" w:eastAsia="仿宋_GB2312" w:cs="仿宋_GB2312"/>
          <w:kern w:val="2"/>
          <w:sz w:val="32"/>
          <w:szCs w:val="32"/>
          <w:lang w:val="en-US" w:eastAsia="zh-CN" w:bidi="ar"/>
        </w:rPr>
        <w:t>；卫生健康支出（类）行政事业单位医疗（款）事业单位医疗（项）12.06万元，比上年</w:t>
      </w:r>
      <w:r>
        <w:rPr>
          <w:rFonts w:hint="eastAsia" w:ascii="仿宋_GB2312" w:eastAsia="仿宋_GB2312" w:cs="仿宋_GB2312"/>
          <w:kern w:val="2"/>
          <w:sz w:val="32"/>
          <w:szCs w:val="32"/>
          <w:lang w:val="en-US" w:eastAsia="zh-CN" w:bidi="ar"/>
        </w:rPr>
        <w:t>减少1.87</w:t>
      </w:r>
      <w:r>
        <w:rPr>
          <w:rFonts w:hint="eastAsia" w:ascii="仿宋_GB2312" w:hAnsi="Times New Roman" w:eastAsia="仿宋_GB2312" w:cs="仿宋_GB2312"/>
          <w:kern w:val="2"/>
          <w:sz w:val="32"/>
          <w:szCs w:val="32"/>
          <w:lang w:val="en-US" w:eastAsia="zh-CN" w:bidi="ar"/>
        </w:rPr>
        <w:t>%，主要原因是</w:t>
      </w:r>
      <w:r>
        <w:rPr>
          <w:rFonts w:hint="eastAsia" w:ascii="仿宋_GB2312" w:eastAsia="仿宋_GB2312" w:cs="仿宋_GB2312"/>
          <w:kern w:val="2"/>
          <w:sz w:val="32"/>
          <w:szCs w:val="32"/>
          <w:lang w:val="en-US" w:eastAsia="zh-CN" w:bidi="ar"/>
        </w:rPr>
        <w:t>人员变动导致缴费基数调整</w:t>
      </w:r>
      <w:r>
        <w:rPr>
          <w:rFonts w:hint="eastAsia" w:ascii="仿宋_GB2312" w:hAnsi="Times New Roman" w:eastAsia="仿宋_GB2312" w:cs="仿宋_GB2312"/>
          <w:kern w:val="2"/>
          <w:sz w:val="32"/>
          <w:szCs w:val="32"/>
          <w:lang w:val="en-US" w:eastAsia="zh-CN" w:bidi="ar"/>
        </w:rPr>
        <w:t>；卫生健康支出（类）行政事业单位医疗（款）其他行政事业单位医疗支出（项）11.07万元，比上年</w:t>
      </w:r>
      <w:r>
        <w:rPr>
          <w:rFonts w:hint="eastAsia" w:ascii="仿宋_GB2312" w:eastAsia="仿宋_GB2312" w:cs="仿宋_GB2312"/>
          <w:kern w:val="2"/>
          <w:sz w:val="32"/>
          <w:szCs w:val="32"/>
          <w:lang w:val="en-US" w:eastAsia="zh-CN" w:bidi="ar"/>
        </w:rPr>
        <w:t>减少38.50</w:t>
      </w:r>
      <w:r>
        <w:rPr>
          <w:rFonts w:hint="eastAsia" w:ascii="仿宋_GB2312" w:hAnsi="Times New Roman" w:eastAsia="仿宋_GB2312" w:cs="仿宋_GB2312"/>
          <w:kern w:val="2"/>
          <w:sz w:val="32"/>
          <w:szCs w:val="32"/>
          <w:lang w:val="en-US" w:eastAsia="zh-CN" w:bidi="ar"/>
        </w:rPr>
        <w:t>%，主要原因是</w:t>
      </w:r>
      <w:r>
        <w:rPr>
          <w:rFonts w:hint="eastAsia" w:ascii="仿宋_GB2312" w:eastAsia="仿宋_GB2312" w:cs="仿宋_GB2312"/>
          <w:kern w:val="2"/>
          <w:sz w:val="32"/>
          <w:szCs w:val="32"/>
          <w:lang w:val="en-US" w:eastAsia="zh-CN" w:bidi="ar"/>
        </w:rPr>
        <w:t>人员变动导致缴费基数调整</w:t>
      </w:r>
      <w:r>
        <w:rPr>
          <w:rFonts w:hint="eastAsia" w:ascii="仿宋_GB2312" w:hAnsi="Times New Roman" w:eastAsia="仿宋_GB2312" w:cs="仿宋_GB2312"/>
          <w:kern w:val="2"/>
          <w:sz w:val="32"/>
          <w:szCs w:val="32"/>
          <w:lang w:val="en-US" w:eastAsia="zh-CN" w:bidi="ar"/>
        </w:rPr>
        <w:t>。</w:t>
      </w:r>
    </w:p>
    <w:p>
      <w:pPr>
        <w:spacing w:line="600" w:lineRule="exact"/>
        <w:ind w:firstLine="640" w:firstLineChars="200"/>
        <w:rPr>
          <w:rFonts w:ascii="黑体" w:eastAsia="黑体"/>
          <w:sz w:val="32"/>
          <w:szCs w:val="32"/>
        </w:rPr>
      </w:pPr>
      <w:r>
        <w:rPr>
          <w:rFonts w:hint="eastAsia" w:ascii="黑体" w:eastAsia="黑体"/>
          <w:sz w:val="32"/>
          <w:szCs w:val="32"/>
        </w:rPr>
        <w:t>六、关于一般公共预算基本支出预算表的说明</w:t>
      </w:r>
    </w:p>
    <w:p>
      <w:pPr>
        <w:spacing w:line="600" w:lineRule="exact"/>
        <w:ind w:firstLine="600"/>
        <w:rPr>
          <w:rFonts w:ascii="仿宋_GB2312" w:eastAsia="仿宋_GB2312"/>
          <w:sz w:val="32"/>
          <w:szCs w:val="32"/>
        </w:rPr>
      </w:pPr>
      <w:r>
        <w:rPr>
          <w:rFonts w:hint="eastAsia" w:eastAsia="仿宋_GB2312"/>
          <w:sz w:val="32"/>
          <w:szCs w:val="32"/>
          <w:lang w:val="en-US" w:eastAsia="zh-CN"/>
        </w:rPr>
        <w:t>招远市审计局</w:t>
      </w:r>
      <w:r>
        <w:rPr>
          <w:rFonts w:hint="eastAsia" w:ascii="仿宋_GB2312" w:eastAsia="仿宋_GB2312"/>
          <w:sz w:val="32"/>
          <w:szCs w:val="32"/>
        </w:rPr>
        <w:t>部门2022年一般公共预算拨款安排的基本支出535.16万元。主要用于：</w:t>
      </w:r>
    </w:p>
    <w:p>
      <w:pPr>
        <w:spacing w:line="580" w:lineRule="exact"/>
        <w:ind w:firstLine="640" w:firstLineChars="200"/>
        <w:rPr>
          <w:rFonts w:hint="eastAsia" w:ascii="仿宋_GB2312" w:eastAsia="仿宋_GB2312"/>
          <w:sz w:val="32"/>
          <w:szCs w:val="32"/>
        </w:rPr>
      </w:pPr>
      <w:r>
        <w:rPr>
          <w:rFonts w:hint="eastAsia" w:ascii="仿宋_GB2312" w:eastAsia="仿宋_GB2312"/>
          <w:sz w:val="32"/>
          <w:szCs w:val="32"/>
        </w:rPr>
        <w:t>1.人员经费512.15万元。按部门预算支出经济分类主要包括：基本工资、津贴补贴、奖金、社会保险缴费、伙食补助费、绩效工资、其他工资福利支出、离休费、退休费、抚恤金、生活补助、医疗费补助、奖励金、住房公积金、其他对个人和家庭的补助支出等。按政府预算支出经济分类主要包括：工资奖金津补贴、社会保障缴费、住房公积金、其他工资福利支出、社会福利和救助、离退休费、其他对个人和家庭补助等。</w:t>
      </w:r>
    </w:p>
    <w:p>
      <w:pPr>
        <w:spacing w:line="600" w:lineRule="exact"/>
        <w:ind w:firstLine="645"/>
        <w:rPr>
          <w:rFonts w:hint="eastAsia" w:ascii="仿宋_GB2312" w:eastAsia="仿宋_GB2312"/>
          <w:sz w:val="32"/>
          <w:szCs w:val="32"/>
          <w:highlight w:val="none"/>
        </w:rPr>
      </w:pPr>
      <w:r>
        <w:rPr>
          <w:rFonts w:hint="eastAsia" w:ascii="仿宋_GB2312" w:eastAsia="仿宋_GB2312"/>
          <w:sz w:val="32"/>
          <w:szCs w:val="32"/>
        </w:rPr>
        <w:t>2.公用经费23.01万元。按部门预算支出经济分类主要包括：</w:t>
      </w:r>
      <w:r>
        <w:rPr>
          <w:rFonts w:hint="eastAsia" w:ascii="仿宋_GB2312" w:eastAsia="仿宋_GB2312"/>
          <w:sz w:val="32"/>
          <w:szCs w:val="32"/>
          <w:highlight w:val="none"/>
        </w:rPr>
        <w:t>办公费、印刷费、咨询费、手续费、水费、电费、邮电费、取暖费、物业管理费、差旅费、因公出国（境）费、维修（护）费、租赁费、会议费、培训费、公务接待费、专用材料费、被装购置费、专用燃料费、劳务费、委托业务费、工会经费、福利费、公务用车运行维护费、其他交通费、税金及附加费用、其他商品和服务支出、办公设备购置、专用设备购置、信息网络及软件购置更新、其他资本性支出等。按政府预算支出经济分类主要包括：办公经费、会议费、培训费、专用材料购置费、委托业务费、公务接待费、因公出国（境）费用、公务用车运行维护费、维修（护）费、其他商品和服务支出、设备购置、其他资本性支出、其他对事业单位补助、对事业单位资本性补助等。</w:t>
      </w:r>
    </w:p>
    <w:p>
      <w:pPr>
        <w:spacing w:line="600" w:lineRule="exact"/>
        <w:ind w:firstLine="645"/>
        <w:rPr>
          <w:rFonts w:ascii="黑体" w:eastAsia="黑体"/>
          <w:sz w:val="32"/>
          <w:szCs w:val="32"/>
        </w:rPr>
      </w:pPr>
      <w:r>
        <w:rPr>
          <w:rFonts w:hint="eastAsia" w:ascii="黑体" w:eastAsia="黑体"/>
          <w:sz w:val="32"/>
          <w:szCs w:val="32"/>
        </w:rPr>
        <w:t>七、关于一般公共预算“三公”经费支出预算表的说明</w:t>
      </w:r>
    </w:p>
    <w:p>
      <w:pPr>
        <w:spacing w:line="600" w:lineRule="exact"/>
        <w:ind w:firstLine="600"/>
        <w:rPr>
          <w:rFonts w:hint="eastAsia" w:ascii="仿宋_GB2312" w:eastAsia="仿宋_GB2312"/>
          <w:sz w:val="32"/>
          <w:szCs w:val="32"/>
          <w:lang w:val="en-US" w:eastAsia="zh-CN"/>
        </w:rPr>
      </w:pPr>
      <w:r>
        <w:rPr>
          <w:rFonts w:hint="eastAsia" w:ascii="仿宋_GB2312" w:eastAsia="仿宋_GB2312"/>
          <w:sz w:val="32"/>
          <w:szCs w:val="32"/>
        </w:rPr>
        <w:t>2022年</w:t>
      </w:r>
      <w:r>
        <w:rPr>
          <w:rFonts w:hint="eastAsia" w:ascii="仿宋_GB2312" w:eastAsia="仿宋_GB2312"/>
          <w:sz w:val="32"/>
          <w:szCs w:val="32"/>
          <w:lang w:val="en-US" w:eastAsia="zh-CN"/>
        </w:rPr>
        <w:t>招远市审计局</w:t>
      </w:r>
      <w:r>
        <w:rPr>
          <w:rFonts w:hint="eastAsia" w:ascii="仿宋_GB2312" w:eastAsia="仿宋_GB2312"/>
          <w:sz w:val="32"/>
          <w:szCs w:val="32"/>
        </w:rPr>
        <w:t>部门通过一般公共预算财政拨款安排的</w:t>
      </w:r>
      <w:r>
        <w:rPr>
          <w:rFonts w:hint="eastAsia" w:eastAsia="仿宋_GB2312"/>
          <w:sz w:val="32"/>
          <w:szCs w:val="32"/>
        </w:rPr>
        <w:t>“三公”经费预算共</w:t>
      </w:r>
      <w:r>
        <w:rPr>
          <w:rFonts w:hint="eastAsia" w:ascii="仿宋_GB2312" w:eastAsia="仿宋_GB2312"/>
          <w:sz w:val="32"/>
          <w:szCs w:val="32"/>
          <w:lang w:val="en-US" w:eastAsia="zh-CN"/>
        </w:rPr>
        <w:t>1.90</w:t>
      </w:r>
      <w:r>
        <w:rPr>
          <w:rFonts w:hint="eastAsia" w:eastAsia="仿宋_GB2312"/>
          <w:sz w:val="32"/>
          <w:szCs w:val="32"/>
        </w:rPr>
        <w:t>万元，</w:t>
      </w:r>
      <w:r>
        <w:rPr>
          <w:rFonts w:hint="eastAsia" w:eastAsia="仿宋_GB2312"/>
          <w:sz w:val="32"/>
          <w:szCs w:val="32"/>
          <w:lang w:val="en-US" w:eastAsia="zh-CN"/>
        </w:rPr>
        <w:t>与上年持平</w:t>
      </w:r>
      <w:r>
        <w:rPr>
          <w:rFonts w:hint="eastAsia" w:ascii="仿宋_GB2312" w:eastAsia="仿宋_GB2312"/>
          <w:sz w:val="32"/>
          <w:szCs w:val="32"/>
        </w:rPr>
        <w:t>。</w:t>
      </w:r>
      <w:r>
        <w:rPr>
          <w:rFonts w:hint="eastAsia" w:ascii="仿宋_GB2312" w:eastAsia="仿宋_GB2312"/>
          <w:sz w:val="32"/>
          <w:szCs w:val="32"/>
          <w:lang w:val="en-US" w:eastAsia="zh-CN"/>
        </w:rPr>
        <w:t xml:space="preserve">  </w:t>
      </w:r>
    </w:p>
    <w:p>
      <w:pPr>
        <w:spacing w:line="600" w:lineRule="exact"/>
        <w:ind w:firstLine="600"/>
        <w:rPr>
          <w:rFonts w:ascii="仿宋_GB2312" w:eastAsia="仿宋_GB2312"/>
          <w:b/>
          <w:bCs/>
          <w:sz w:val="32"/>
          <w:szCs w:val="32"/>
        </w:rPr>
      </w:pPr>
      <w:r>
        <w:rPr>
          <w:rFonts w:hint="eastAsia" w:ascii="仿宋_GB2312" w:eastAsia="仿宋_GB2312"/>
          <w:sz w:val="32"/>
          <w:szCs w:val="32"/>
        </w:rPr>
        <w:t>其中：因公</w:t>
      </w:r>
      <w:r>
        <w:rPr>
          <w:rFonts w:hint="eastAsia" w:eastAsia="仿宋_GB2312"/>
          <w:sz w:val="32"/>
          <w:szCs w:val="32"/>
        </w:rPr>
        <w:t>出国（境）费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eastAsia="仿宋_GB2312"/>
          <w:sz w:val="32"/>
          <w:szCs w:val="32"/>
          <w:lang w:val="en-US" w:eastAsia="zh-CN"/>
        </w:rPr>
        <w:t>与上年持平</w:t>
      </w:r>
      <w:r>
        <w:rPr>
          <w:rFonts w:hint="eastAsia" w:ascii="仿宋_GB2312" w:eastAsia="仿宋_GB2312"/>
          <w:sz w:val="32"/>
          <w:szCs w:val="32"/>
        </w:rPr>
        <w:t>。</w:t>
      </w:r>
      <w:r>
        <w:rPr>
          <w:rFonts w:hint="eastAsia" w:eastAsia="仿宋_GB2312"/>
          <w:sz w:val="32"/>
          <w:szCs w:val="32"/>
        </w:rPr>
        <w:t>公务用车购置及运行费</w:t>
      </w:r>
      <w:r>
        <w:rPr>
          <w:rFonts w:hint="eastAsia" w:ascii="仿宋_GB2312" w:eastAsia="仿宋_GB2312"/>
          <w:sz w:val="32"/>
          <w:szCs w:val="32"/>
          <w:lang w:val="en-US" w:eastAsia="zh-CN"/>
        </w:rPr>
        <w:t>1.50</w:t>
      </w:r>
      <w:r>
        <w:rPr>
          <w:rFonts w:hint="eastAsia" w:ascii="仿宋_GB2312" w:eastAsia="仿宋_GB2312"/>
          <w:sz w:val="32"/>
          <w:szCs w:val="32"/>
        </w:rPr>
        <w:t>万元，包括公务用车购置费</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eastAsia="仿宋_GB2312"/>
          <w:sz w:val="32"/>
          <w:szCs w:val="32"/>
          <w:lang w:val="en-US" w:eastAsia="zh-CN"/>
        </w:rPr>
        <w:t>与上年持平</w:t>
      </w:r>
      <w:r>
        <w:rPr>
          <w:rFonts w:hint="eastAsia" w:ascii="仿宋_GB2312" w:eastAsia="仿宋_GB2312"/>
          <w:sz w:val="32"/>
          <w:szCs w:val="32"/>
        </w:rPr>
        <w:t>；公务用车运行维护费</w:t>
      </w:r>
      <w:r>
        <w:rPr>
          <w:rFonts w:hint="eastAsia" w:ascii="仿宋_GB2312" w:eastAsia="仿宋_GB2312"/>
          <w:sz w:val="32"/>
          <w:szCs w:val="32"/>
          <w:lang w:val="en-US" w:eastAsia="zh-CN"/>
        </w:rPr>
        <w:t>1.50</w:t>
      </w:r>
      <w:r>
        <w:rPr>
          <w:rFonts w:hint="eastAsia" w:ascii="仿宋_GB2312" w:eastAsia="仿宋_GB2312"/>
          <w:sz w:val="32"/>
          <w:szCs w:val="32"/>
        </w:rPr>
        <w:t>万元，</w:t>
      </w:r>
      <w:r>
        <w:rPr>
          <w:rFonts w:hint="eastAsia" w:ascii="仿宋_GB2312" w:eastAsia="仿宋_GB2312"/>
          <w:sz w:val="32"/>
          <w:szCs w:val="32"/>
          <w:lang w:val="en-US" w:eastAsia="zh-CN"/>
        </w:rPr>
        <w:t>与上年持平</w:t>
      </w:r>
      <w:r>
        <w:rPr>
          <w:rFonts w:hint="eastAsia" w:ascii="仿宋_GB2312" w:eastAsia="仿宋_GB2312"/>
          <w:sz w:val="32"/>
          <w:szCs w:val="32"/>
        </w:rPr>
        <w:t>。</w:t>
      </w:r>
      <w:r>
        <w:rPr>
          <w:rFonts w:hint="eastAsia" w:eastAsia="仿宋_GB2312"/>
          <w:sz w:val="32"/>
          <w:szCs w:val="32"/>
        </w:rPr>
        <w:t>公务接待费</w:t>
      </w:r>
      <w:r>
        <w:rPr>
          <w:rFonts w:hint="eastAsia" w:ascii="仿宋_GB2312" w:eastAsia="仿宋_GB2312"/>
          <w:sz w:val="32"/>
          <w:szCs w:val="32"/>
          <w:lang w:val="en-US" w:eastAsia="zh-CN"/>
        </w:rPr>
        <w:t>0.40</w:t>
      </w:r>
      <w:r>
        <w:rPr>
          <w:rFonts w:hint="eastAsia" w:ascii="仿宋_GB2312" w:eastAsia="仿宋_GB2312"/>
          <w:sz w:val="32"/>
          <w:szCs w:val="32"/>
        </w:rPr>
        <w:t>万元</w:t>
      </w:r>
      <w:r>
        <w:rPr>
          <w:rFonts w:hint="eastAsia" w:eastAsia="仿宋_GB2312"/>
          <w:sz w:val="32"/>
          <w:szCs w:val="32"/>
        </w:rPr>
        <w:t>，</w:t>
      </w:r>
      <w:r>
        <w:rPr>
          <w:rFonts w:hint="eastAsia" w:eastAsia="仿宋_GB2312"/>
          <w:sz w:val="32"/>
          <w:szCs w:val="32"/>
          <w:lang w:val="en-US" w:eastAsia="zh-CN"/>
        </w:rPr>
        <w:t>与上年持平</w:t>
      </w:r>
      <w:r>
        <w:rPr>
          <w:rFonts w:hint="eastAsia" w:ascii="仿宋_GB2312" w:eastAsia="仿宋_GB2312"/>
          <w:sz w:val="32"/>
          <w:szCs w:val="32"/>
          <w:lang w:val="en-US" w:eastAsia="zh-CN"/>
        </w:rPr>
        <w:t>。</w:t>
      </w:r>
    </w:p>
    <w:p>
      <w:pPr>
        <w:widowControl/>
        <w:ind w:firstLine="640" w:firstLineChars="200"/>
        <w:jc w:val="left"/>
        <w:rPr>
          <w:rFonts w:ascii="黑体" w:eastAsia="黑体"/>
          <w:sz w:val="32"/>
          <w:szCs w:val="32"/>
        </w:rPr>
      </w:pPr>
      <w:r>
        <w:rPr>
          <w:rFonts w:hint="eastAsia" w:ascii="黑体" w:eastAsia="黑体"/>
          <w:sz w:val="32"/>
          <w:szCs w:val="32"/>
        </w:rPr>
        <w:t>八、关于政府性基金预算支出表的说明</w:t>
      </w:r>
    </w:p>
    <w:p>
      <w:pPr>
        <w:spacing w:line="600" w:lineRule="exact"/>
        <w:ind w:firstLine="320" w:firstLineChars="100"/>
        <w:rPr>
          <w:rFonts w:hint="eastAsia" w:eastAsia="仿宋_GB2312"/>
          <w:sz w:val="32"/>
          <w:szCs w:val="32"/>
          <w:lang w:eastAsia="zh-CN"/>
        </w:rPr>
      </w:pPr>
      <w:r>
        <w:rPr>
          <w:rFonts w:hint="eastAsia" w:eastAsia="仿宋_GB2312"/>
          <w:sz w:val="32"/>
          <w:szCs w:val="32"/>
          <w:lang w:val="en-US" w:eastAsia="zh-CN"/>
        </w:rPr>
        <w:t xml:space="preserve">  招远市审计局</w:t>
      </w:r>
      <w:r>
        <w:rPr>
          <w:rFonts w:hint="eastAsia" w:eastAsia="仿宋_GB2312"/>
          <w:sz w:val="32"/>
          <w:szCs w:val="32"/>
        </w:rPr>
        <w:t>部门2022年没有使用政府性基金预算拨款安排的支出</w:t>
      </w:r>
      <w:r>
        <w:rPr>
          <w:rFonts w:hint="eastAsia" w:eastAsia="仿宋_GB2312"/>
          <w:sz w:val="32"/>
          <w:szCs w:val="32"/>
          <w:lang w:eastAsia="zh-CN"/>
        </w:rPr>
        <w:t>。</w:t>
      </w:r>
    </w:p>
    <w:p>
      <w:pPr>
        <w:spacing w:line="600" w:lineRule="exact"/>
        <w:ind w:firstLine="640" w:firstLineChars="200"/>
        <w:rPr>
          <w:rFonts w:ascii="黑体" w:eastAsia="黑体"/>
          <w:sz w:val="32"/>
          <w:szCs w:val="32"/>
        </w:rPr>
      </w:pPr>
      <w:r>
        <w:rPr>
          <w:rFonts w:hint="eastAsia" w:ascii="黑体" w:eastAsia="黑体"/>
          <w:sz w:val="32"/>
          <w:szCs w:val="32"/>
        </w:rPr>
        <w:t>九、关于政府性基金预算基本支出预算表的说明</w:t>
      </w:r>
    </w:p>
    <w:p>
      <w:pPr>
        <w:spacing w:line="600" w:lineRule="exact"/>
        <w:ind w:firstLine="645"/>
        <w:rPr>
          <w:rFonts w:hint="eastAsia" w:eastAsia="仿宋_GB2312"/>
          <w:sz w:val="32"/>
          <w:szCs w:val="32"/>
          <w:lang w:val="en-US" w:eastAsia="zh-CN"/>
        </w:rPr>
      </w:pPr>
      <w:r>
        <w:rPr>
          <w:rFonts w:hint="eastAsia" w:eastAsia="仿宋_GB2312"/>
          <w:sz w:val="32"/>
          <w:szCs w:val="32"/>
          <w:lang w:val="en-US" w:eastAsia="zh-CN"/>
        </w:rPr>
        <w:t>招远市审计局部门2022年无政府性基金预算拨款安排的基本支出。</w:t>
      </w:r>
    </w:p>
    <w:p>
      <w:pPr>
        <w:spacing w:line="600" w:lineRule="exact"/>
        <w:ind w:firstLine="640" w:firstLineChars="200"/>
        <w:rPr>
          <w:rFonts w:ascii="黑体" w:eastAsia="黑体"/>
          <w:sz w:val="32"/>
          <w:szCs w:val="32"/>
        </w:rPr>
      </w:pPr>
      <w:r>
        <w:rPr>
          <w:rFonts w:hint="eastAsia" w:ascii="黑体" w:eastAsia="黑体"/>
          <w:sz w:val="32"/>
          <w:szCs w:val="32"/>
        </w:rPr>
        <w:t>十、关于国有资本经营预算支出表的说明</w:t>
      </w:r>
    </w:p>
    <w:p>
      <w:pPr>
        <w:spacing w:line="60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招远市审计局部门2022年没有使用国有资本经营预算拨款安排的支出。</w:t>
      </w:r>
    </w:p>
    <w:p>
      <w:pPr>
        <w:widowControl/>
        <w:ind w:firstLine="640" w:firstLineChars="200"/>
        <w:jc w:val="left"/>
        <w:rPr>
          <w:rFonts w:ascii="黑体" w:hAnsi="黑体" w:eastAsia="黑体"/>
          <w:sz w:val="32"/>
          <w:szCs w:val="32"/>
        </w:rPr>
      </w:pPr>
      <w:r>
        <w:rPr>
          <w:rFonts w:hint="eastAsia" w:ascii="黑体" w:hAnsi="黑体" w:eastAsia="黑体"/>
          <w:sz w:val="32"/>
          <w:szCs w:val="32"/>
        </w:rPr>
        <w:t>十一、其他重要事项的情况说明</w:t>
      </w:r>
    </w:p>
    <w:p>
      <w:pPr>
        <w:spacing w:line="600" w:lineRule="exact"/>
        <w:ind w:firstLine="600"/>
        <w:rPr>
          <w:rFonts w:ascii="楷体_GB2312" w:eastAsia="楷体_GB2312"/>
          <w:sz w:val="32"/>
          <w:szCs w:val="32"/>
        </w:rPr>
      </w:pPr>
      <w:r>
        <w:rPr>
          <w:rFonts w:hint="eastAsia" w:ascii="楷体_GB2312" w:eastAsia="楷体_GB2312"/>
          <w:sz w:val="32"/>
          <w:szCs w:val="32"/>
        </w:rPr>
        <w:t>（一）机关运行经费情况</w:t>
      </w:r>
    </w:p>
    <w:p>
      <w:pPr>
        <w:spacing w:line="600" w:lineRule="exact"/>
        <w:ind w:firstLine="600"/>
        <w:rPr>
          <w:rFonts w:ascii="仿宋_GB2312" w:eastAsia="仿宋_GB2312"/>
          <w:sz w:val="32"/>
          <w:szCs w:val="32"/>
        </w:rPr>
      </w:pPr>
      <w:r>
        <w:rPr>
          <w:rFonts w:hint="eastAsia" w:ascii="仿宋_GB2312" w:eastAsia="仿宋_GB2312"/>
          <w:sz w:val="32"/>
          <w:szCs w:val="32"/>
        </w:rPr>
        <w:t>2022年</w:t>
      </w:r>
      <w:r>
        <w:rPr>
          <w:rFonts w:hint="eastAsia" w:ascii="仿宋_GB2312" w:eastAsia="仿宋_GB2312"/>
          <w:sz w:val="32"/>
          <w:szCs w:val="32"/>
          <w:lang w:val="en-US" w:eastAsia="zh-CN"/>
        </w:rPr>
        <w:t>招远市审计局</w:t>
      </w:r>
      <w:r>
        <w:rPr>
          <w:rFonts w:hint="eastAsia" w:ascii="仿宋_GB2312" w:eastAsia="仿宋_GB2312"/>
          <w:sz w:val="32"/>
          <w:szCs w:val="32"/>
        </w:rPr>
        <w:t>部门机关、</w:t>
      </w:r>
      <w:r>
        <w:rPr>
          <w:rFonts w:hint="eastAsia" w:ascii="仿宋_GB2312" w:eastAsia="仿宋_GB2312"/>
          <w:sz w:val="32"/>
          <w:szCs w:val="32"/>
          <w:lang w:val="en-US" w:eastAsia="zh-CN"/>
        </w:rPr>
        <w:t>1</w:t>
      </w:r>
      <w:r>
        <w:rPr>
          <w:rFonts w:hint="eastAsia" w:ascii="仿宋_GB2312" w:eastAsia="仿宋_GB2312"/>
          <w:sz w:val="32"/>
          <w:szCs w:val="32"/>
        </w:rPr>
        <w:t>家行政单位的机关运行经费财政拨款预算为</w:t>
      </w:r>
      <w:r>
        <w:rPr>
          <w:rFonts w:hint="eastAsia" w:ascii="仿宋_GB2312" w:eastAsia="仿宋_GB2312"/>
          <w:sz w:val="32"/>
          <w:szCs w:val="32"/>
          <w:lang w:val="en-US" w:eastAsia="zh-CN"/>
        </w:rPr>
        <w:t>23.01</w:t>
      </w:r>
      <w:r>
        <w:rPr>
          <w:rFonts w:hint="eastAsia" w:ascii="仿宋_GB2312" w:eastAsia="仿宋_GB2312"/>
          <w:sz w:val="32"/>
          <w:szCs w:val="32"/>
        </w:rPr>
        <w:t>万元。较2021年预算增加</w:t>
      </w:r>
      <w:r>
        <w:rPr>
          <w:rFonts w:hint="eastAsia" w:ascii="仿宋_GB2312" w:eastAsia="仿宋_GB2312"/>
          <w:sz w:val="32"/>
          <w:szCs w:val="32"/>
          <w:lang w:val="en-US" w:eastAsia="zh-CN"/>
        </w:rPr>
        <w:t>1.31</w:t>
      </w:r>
      <w:r>
        <w:rPr>
          <w:rFonts w:hint="eastAsia" w:ascii="仿宋_GB2312" w:eastAsia="仿宋_GB2312"/>
          <w:sz w:val="32"/>
          <w:szCs w:val="32"/>
        </w:rPr>
        <w:t>万元，增长</w:t>
      </w:r>
      <w:r>
        <w:rPr>
          <w:rFonts w:hint="eastAsia" w:ascii="仿宋_GB2312" w:eastAsia="仿宋_GB2312"/>
          <w:sz w:val="32"/>
          <w:szCs w:val="32"/>
          <w:lang w:val="en-US" w:eastAsia="zh-CN"/>
        </w:rPr>
        <w:t>6.04</w:t>
      </w:r>
      <w:r>
        <w:rPr>
          <w:rFonts w:hint="eastAsia" w:ascii="仿宋_GB2312" w:eastAsia="仿宋_GB2312"/>
          <w:sz w:val="32"/>
          <w:szCs w:val="32"/>
        </w:rPr>
        <w:t>%。主要原因是：</w:t>
      </w:r>
      <w:r>
        <w:rPr>
          <w:rFonts w:hint="eastAsia" w:ascii="仿宋_GB2312" w:eastAsia="仿宋_GB2312"/>
          <w:sz w:val="32"/>
          <w:szCs w:val="32"/>
          <w:highlight w:val="none"/>
        </w:rPr>
        <w:t>人员编制数量增加</w:t>
      </w:r>
      <w:r>
        <w:rPr>
          <w:rFonts w:hint="eastAsia" w:ascii="仿宋_GB2312" w:eastAsia="仿宋_GB2312"/>
          <w:sz w:val="32"/>
          <w:szCs w:val="32"/>
        </w:rPr>
        <w:t>。</w:t>
      </w:r>
    </w:p>
    <w:p>
      <w:pPr>
        <w:numPr>
          <w:ilvl w:val="0"/>
          <w:numId w:val="1"/>
        </w:numPr>
        <w:spacing w:line="600" w:lineRule="exact"/>
        <w:ind w:firstLine="600"/>
        <w:rPr>
          <w:rFonts w:hint="eastAsia" w:ascii="楷体_GB2312" w:eastAsia="楷体_GB2312"/>
          <w:sz w:val="32"/>
          <w:szCs w:val="32"/>
        </w:rPr>
      </w:pPr>
      <w:r>
        <w:rPr>
          <w:rFonts w:hint="eastAsia" w:ascii="楷体_GB2312" w:eastAsia="楷体_GB2312"/>
          <w:sz w:val="32"/>
          <w:szCs w:val="32"/>
        </w:rPr>
        <w:t>政府采购情况</w:t>
      </w:r>
    </w:p>
    <w:p>
      <w:pPr>
        <w:spacing w:line="580" w:lineRule="exact"/>
        <w:ind w:firstLine="600"/>
        <w:rPr>
          <w:rFonts w:hint="eastAsia" w:ascii="仿宋_GB2312" w:eastAsia="仿宋_GB2312"/>
          <w:sz w:val="32"/>
          <w:szCs w:val="32"/>
          <w:lang w:eastAsia="zh-CN"/>
        </w:rPr>
      </w:pPr>
      <w:r>
        <w:rPr>
          <w:rFonts w:hint="eastAsia" w:ascii="仿宋_GB2312" w:eastAsia="仿宋_GB2312"/>
          <w:sz w:val="32"/>
          <w:szCs w:val="32"/>
          <w:lang w:val="en-US" w:eastAsia="zh-CN"/>
        </w:rPr>
        <w:t>招远市审计局</w:t>
      </w:r>
      <w:r>
        <w:rPr>
          <w:rFonts w:hint="eastAsia" w:ascii="仿宋_GB2312" w:eastAsia="仿宋_GB2312"/>
          <w:sz w:val="32"/>
          <w:szCs w:val="32"/>
          <w:lang w:eastAsia="zh-CN"/>
        </w:rPr>
        <w:t>202</w:t>
      </w:r>
      <w:r>
        <w:rPr>
          <w:rFonts w:hint="eastAsia" w:ascii="仿宋_GB2312" w:eastAsia="仿宋_GB2312"/>
          <w:sz w:val="32"/>
          <w:szCs w:val="32"/>
          <w:lang w:val="en-US" w:eastAsia="zh-CN"/>
        </w:rPr>
        <w:t>1</w:t>
      </w:r>
      <w:r>
        <w:rPr>
          <w:rFonts w:hint="eastAsia" w:ascii="仿宋_GB2312" w:eastAsia="仿宋_GB2312"/>
          <w:sz w:val="32"/>
          <w:szCs w:val="32"/>
        </w:rPr>
        <w:t>年未安排政府采购预算</w:t>
      </w:r>
      <w:r>
        <w:rPr>
          <w:rFonts w:hint="eastAsia" w:ascii="仿宋_GB2312" w:eastAsia="仿宋_GB2312"/>
          <w:sz w:val="32"/>
          <w:szCs w:val="32"/>
          <w:lang w:eastAsia="zh-CN"/>
        </w:rPr>
        <w:t>。</w:t>
      </w:r>
    </w:p>
    <w:p>
      <w:pPr>
        <w:numPr>
          <w:ilvl w:val="0"/>
          <w:numId w:val="0"/>
        </w:numPr>
        <w:spacing w:line="600" w:lineRule="exact"/>
        <w:ind w:firstLine="640" w:firstLineChars="200"/>
        <w:rPr>
          <w:rFonts w:ascii="楷体_GB2312" w:eastAsia="楷体_GB2312"/>
          <w:sz w:val="32"/>
          <w:szCs w:val="32"/>
        </w:rPr>
      </w:pPr>
      <w:r>
        <w:rPr>
          <w:rFonts w:hint="eastAsia" w:ascii="楷体_GB2312" w:eastAsia="楷体_GB2312"/>
          <w:sz w:val="32"/>
          <w:szCs w:val="32"/>
        </w:rPr>
        <w:t>（三）国有资产占有使用情况</w:t>
      </w:r>
    </w:p>
    <w:p>
      <w:pPr>
        <w:spacing w:line="600" w:lineRule="exact"/>
        <w:ind w:firstLine="600"/>
        <w:rPr>
          <w:rFonts w:ascii="仿宋_GB2312" w:eastAsia="仿宋_GB2312"/>
          <w:sz w:val="32"/>
          <w:szCs w:val="32"/>
        </w:rPr>
      </w:pPr>
      <w:r>
        <w:rPr>
          <w:rFonts w:hint="eastAsia" w:ascii="仿宋_GB2312" w:eastAsia="仿宋_GB2312"/>
          <w:sz w:val="32"/>
          <w:szCs w:val="32"/>
        </w:rPr>
        <w:t>截至2021年12月31日，</w:t>
      </w:r>
      <w:r>
        <w:rPr>
          <w:rFonts w:hint="eastAsia" w:ascii="仿宋_GB2312" w:eastAsia="仿宋_GB2312"/>
          <w:sz w:val="32"/>
          <w:szCs w:val="32"/>
          <w:lang w:val="en-US" w:eastAsia="zh-CN"/>
        </w:rPr>
        <w:t>招远市审计局</w:t>
      </w:r>
      <w:r>
        <w:rPr>
          <w:rFonts w:hint="eastAsia" w:ascii="仿宋_GB2312" w:eastAsia="仿宋_GB2312"/>
          <w:sz w:val="32"/>
          <w:szCs w:val="32"/>
        </w:rPr>
        <w:t>部门所属各预算单位共有车辆</w:t>
      </w:r>
      <w:r>
        <w:rPr>
          <w:rFonts w:hint="eastAsia" w:ascii="仿宋_GB2312" w:eastAsia="仿宋_GB2312"/>
          <w:sz w:val="32"/>
          <w:szCs w:val="32"/>
          <w:lang w:val="en-US" w:eastAsia="zh-CN"/>
        </w:rPr>
        <w:t>1</w:t>
      </w:r>
      <w:r>
        <w:rPr>
          <w:rFonts w:hint="eastAsia" w:ascii="仿宋_GB2312" w:eastAsia="仿宋_GB2312"/>
          <w:sz w:val="32"/>
          <w:szCs w:val="32"/>
        </w:rPr>
        <w:t>辆，其中，其他用车</w:t>
      </w:r>
      <w:r>
        <w:rPr>
          <w:rFonts w:hint="eastAsia" w:ascii="仿宋_GB2312" w:eastAsia="仿宋_GB2312"/>
          <w:sz w:val="32"/>
          <w:szCs w:val="32"/>
          <w:lang w:val="en-US" w:eastAsia="zh-CN"/>
        </w:rPr>
        <w:t>1</w:t>
      </w:r>
      <w:r>
        <w:rPr>
          <w:rFonts w:hint="eastAsia" w:ascii="仿宋_GB2312" w:eastAsia="仿宋_GB2312"/>
          <w:sz w:val="32"/>
          <w:szCs w:val="32"/>
        </w:rPr>
        <w:t>辆。其中，其他用车主要是</w:t>
      </w:r>
      <w:r>
        <w:rPr>
          <w:rFonts w:hint="eastAsia" w:ascii="仿宋_GB2312" w:eastAsia="仿宋_GB2312"/>
          <w:sz w:val="32"/>
          <w:szCs w:val="32"/>
          <w:lang w:val="en-US" w:eastAsia="zh-CN"/>
        </w:rPr>
        <w:t>单位日常用车</w:t>
      </w:r>
      <w:r>
        <w:rPr>
          <w:rFonts w:hint="eastAsia" w:ascii="仿宋_GB2312" w:eastAsia="仿宋_GB2312"/>
          <w:sz w:val="32"/>
          <w:szCs w:val="32"/>
        </w:rPr>
        <w:t>。</w:t>
      </w:r>
    </w:p>
    <w:p>
      <w:pPr>
        <w:spacing w:line="600" w:lineRule="exact"/>
        <w:ind w:firstLine="600"/>
        <w:rPr>
          <w:rFonts w:ascii="仿宋_GB2312" w:eastAsia="仿宋_GB2312"/>
          <w:sz w:val="32"/>
          <w:szCs w:val="32"/>
        </w:rPr>
      </w:pPr>
      <w:r>
        <w:rPr>
          <w:rFonts w:hint="eastAsia" w:ascii="仿宋_GB2312" w:eastAsia="仿宋_GB2312"/>
          <w:sz w:val="32"/>
          <w:szCs w:val="32"/>
        </w:rPr>
        <w:t>单位价值50万元以上通用设备</w:t>
      </w:r>
      <w:r>
        <w:rPr>
          <w:rFonts w:hint="eastAsia" w:ascii="仿宋_GB2312" w:eastAsia="仿宋_GB2312"/>
          <w:sz w:val="32"/>
          <w:szCs w:val="32"/>
          <w:lang w:val="en-US" w:eastAsia="zh-CN"/>
        </w:rPr>
        <w:t>0</w:t>
      </w:r>
      <w:r>
        <w:rPr>
          <w:rFonts w:hint="eastAsia" w:ascii="仿宋_GB2312" w:eastAsia="仿宋_GB2312"/>
          <w:sz w:val="32"/>
          <w:szCs w:val="32"/>
        </w:rPr>
        <w:t>台（件、套），单位价值100万元以上专用设备</w:t>
      </w:r>
      <w:r>
        <w:rPr>
          <w:rFonts w:hint="eastAsia" w:ascii="仿宋_GB2312" w:eastAsia="仿宋_GB2312"/>
          <w:sz w:val="32"/>
          <w:szCs w:val="32"/>
          <w:lang w:val="en-US" w:eastAsia="zh-CN"/>
        </w:rPr>
        <w:t>0</w:t>
      </w:r>
      <w:r>
        <w:rPr>
          <w:rFonts w:hint="eastAsia" w:ascii="仿宋_GB2312" w:eastAsia="仿宋_GB2312"/>
          <w:sz w:val="32"/>
          <w:szCs w:val="32"/>
        </w:rPr>
        <w:t>台（件、套）。</w:t>
      </w:r>
    </w:p>
    <w:p>
      <w:pPr>
        <w:spacing w:line="600" w:lineRule="exact"/>
        <w:ind w:firstLine="640" w:firstLineChars="200"/>
        <w:rPr>
          <w:rFonts w:hint="eastAsia" w:ascii="仿宋_GB2312" w:eastAsia="仿宋_GB2312"/>
          <w:b/>
          <w:sz w:val="32"/>
          <w:szCs w:val="32"/>
          <w:lang w:val="en-US" w:eastAsia="zh-CN"/>
        </w:rPr>
      </w:pPr>
      <w:r>
        <w:rPr>
          <w:rFonts w:hint="eastAsia" w:ascii="仿宋_GB2312" w:eastAsia="仿宋_GB2312"/>
          <w:sz w:val="32"/>
          <w:szCs w:val="32"/>
        </w:rPr>
        <w:t>2022年部门预算未安排购置单位价值50万元以上通用设备</w:t>
      </w:r>
      <w:r>
        <w:rPr>
          <w:rFonts w:hint="eastAsia" w:ascii="仿宋_GB2312" w:eastAsia="仿宋_GB2312"/>
          <w:sz w:val="32"/>
          <w:szCs w:val="32"/>
          <w:lang w:eastAsia="zh-CN"/>
        </w:rPr>
        <w:t>。</w:t>
      </w:r>
    </w:p>
    <w:p>
      <w:pPr>
        <w:spacing w:line="600" w:lineRule="exact"/>
        <w:ind w:firstLine="600"/>
        <w:rPr>
          <w:rFonts w:ascii="楷体_GB2312" w:eastAsia="楷体_GB2312"/>
          <w:sz w:val="32"/>
          <w:szCs w:val="32"/>
        </w:rPr>
      </w:pPr>
      <w:r>
        <w:rPr>
          <w:rFonts w:hint="eastAsia" w:ascii="楷体_GB2312" w:eastAsia="楷体_GB2312"/>
          <w:sz w:val="32"/>
          <w:szCs w:val="32"/>
        </w:rPr>
        <w:t>（四）预算绩效管理情况</w:t>
      </w:r>
    </w:p>
    <w:p>
      <w:pPr>
        <w:spacing w:line="600" w:lineRule="exact"/>
        <w:ind w:left="200" w:firstLine="640"/>
        <w:rPr>
          <w:rFonts w:ascii="仿宋_GB2312" w:eastAsia="仿宋_GB2312"/>
          <w:sz w:val="32"/>
          <w:szCs w:val="32"/>
        </w:rPr>
      </w:pPr>
      <w:r>
        <w:rPr>
          <w:rFonts w:hint="eastAsia" w:ascii="仿宋_GB2312" w:eastAsia="仿宋_GB2312"/>
          <w:sz w:val="32"/>
          <w:szCs w:val="32"/>
          <w:lang w:val="en-US" w:eastAsia="zh-CN"/>
        </w:rPr>
        <w:t>招远市审计局</w:t>
      </w:r>
      <w:r>
        <w:rPr>
          <w:rFonts w:hint="eastAsia" w:ascii="仿宋_GB2312" w:eastAsia="仿宋_GB2312"/>
          <w:sz w:val="32"/>
          <w:szCs w:val="32"/>
        </w:rPr>
        <w:t>部门2022年项目支出全面实施绩效目标管理，涉及预算项目支出</w:t>
      </w:r>
      <w:r>
        <w:rPr>
          <w:rFonts w:hint="eastAsia" w:ascii="仿宋_GB2312" w:eastAsia="仿宋_GB2312"/>
          <w:sz w:val="32"/>
          <w:szCs w:val="32"/>
          <w:lang w:val="en-US" w:eastAsia="zh-CN"/>
        </w:rPr>
        <w:t>1</w:t>
      </w:r>
      <w:r>
        <w:rPr>
          <w:rFonts w:hint="eastAsia" w:ascii="仿宋_GB2312" w:eastAsia="仿宋_GB2312"/>
          <w:sz w:val="32"/>
          <w:szCs w:val="32"/>
        </w:rPr>
        <w:t>个，预算资金</w:t>
      </w:r>
      <w:r>
        <w:rPr>
          <w:rFonts w:hint="eastAsia" w:ascii="仿宋_GB2312" w:eastAsia="仿宋_GB2312"/>
          <w:sz w:val="32"/>
          <w:szCs w:val="32"/>
          <w:lang w:val="en-US" w:eastAsia="zh-CN"/>
        </w:rPr>
        <w:t>80</w:t>
      </w:r>
      <w:r>
        <w:rPr>
          <w:rFonts w:hint="eastAsia" w:ascii="仿宋_GB2312" w:eastAsia="仿宋_GB2312"/>
          <w:sz w:val="32"/>
          <w:szCs w:val="32"/>
        </w:rPr>
        <w:t>万元，其中财政拨款</w:t>
      </w:r>
      <w:r>
        <w:rPr>
          <w:rFonts w:hint="eastAsia" w:ascii="仿宋_GB2312" w:eastAsia="仿宋_GB2312"/>
          <w:sz w:val="32"/>
          <w:szCs w:val="32"/>
          <w:lang w:val="en-US" w:eastAsia="zh-CN"/>
        </w:rPr>
        <w:t>80</w:t>
      </w:r>
      <w:r>
        <w:rPr>
          <w:rFonts w:hint="eastAsia" w:ascii="仿宋_GB2312" w:eastAsia="仿宋_GB2312"/>
          <w:sz w:val="32"/>
          <w:szCs w:val="32"/>
        </w:rPr>
        <w:t>万元。拟对</w:t>
      </w:r>
      <w:r>
        <w:rPr>
          <w:rFonts w:hint="eastAsia" w:ascii="仿宋_GB2312" w:eastAsia="仿宋_GB2312"/>
          <w:sz w:val="32"/>
          <w:szCs w:val="32"/>
          <w:lang w:val="en-US" w:eastAsia="zh-CN"/>
        </w:rPr>
        <w:t>1</w:t>
      </w:r>
      <w:r>
        <w:rPr>
          <w:rFonts w:hint="eastAsia" w:ascii="仿宋_GB2312" w:eastAsia="仿宋_GB2312"/>
          <w:sz w:val="32"/>
          <w:szCs w:val="32"/>
        </w:rPr>
        <w:t>个项目开展部门重点绩效评价，涉及预算资金</w:t>
      </w:r>
      <w:r>
        <w:rPr>
          <w:rFonts w:hint="eastAsia" w:ascii="仿宋_GB2312" w:eastAsia="仿宋_GB2312"/>
          <w:sz w:val="32"/>
          <w:szCs w:val="32"/>
          <w:lang w:val="en-US" w:eastAsia="zh-CN"/>
        </w:rPr>
        <w:t>80</w:t>
      </w:r>
      <w:r>
        <w:rPr>
          <w:rFonts w:hint="eastAsia" w:ascii="仿宋_GB2312" w:eastAsia="仿宋_GB2312"/>
          <w:sz w:val="32"/>
          <w:szCs w:val="32"/>
        </w:rPr>
        <w:t>万元，其中财政拨款</w:t>
      </w:r>
      <w:r>
        <w:rPr>
          <w:rFonts w:hint="eastAsia" w:ascii="仿宋_GB2312" w:eastAsia="仿宋_GB2312"/>
          <w:sz w:val="32"/>
          <w:szCs w:val="32"/>
          <w:lang w:val="en-US" w:eastAsia="zh-CN"/>
        </w:rPr>
        <w:t>80</w:t>
      </w:r>
      <w:r>
        <w:rPr>
          <w:rFonts w:hint="eastAsia" w:ascii="仿宋_GB2312" w:eastAsia="仿宋_GB2312"/>
          <w:sz w:val="32"/>
          <w:szCs w:val="32"/>
        </w:rPr>
        <w:t>万元。根据以前年度绩效评价结果，优化</w:t>
      </w:r>
      <w:r>
        <w:rPr>
          <w:rFonts w:hint="eastAsia" w:ascii="仿宋_GB2312" w:eastAsia="仿宋_GB2312"/>
          <w:sz w:val="32"/>
          <w:szCs w:val="32"/>
          <w:lang w:val="en-US" w:eastAsia="zh-CN"/>
        </w:rPr>
        <w:t>审计业务</w:t>
      </w:r>
      <w:r>
        <w:rPr>
          <w:rFonts w:hint="eastAsia" w:ascii="仿宋_GB2312" w:eastAsia="仿宋_GB2312"/>
          <w:sz w:val="32"/>
          <w:szCs w:val="32"/>
        </w:rPr>
        <w:t>项目支出2022年预算安排，进一步改进管理、完善政策。</w:t>
      </w:r>
    </w:p>
    <w:p>
      <w:pPr>
        <w:pStyle w:val="13"/>
        <w:spacing w:line="580" w:lineRule="atLeast"/>
        <w:ind w:firstLine="640"/>
        <w:rPr>
          <w:rFonts w:ascii="仿宋_GB2312" w:eastAsia="仿宋_GB2312"/>
          <w:b/>
          <w:bCs/>
          <w:sz w:val="32"/>
          <w:szCs w:val="32"/>
        </w:rPr>
        <w:sectPr>
          <w:pgSz w:w="11906" w:h="16838"/>
          <w:pgMar w:top="1440" w:right="1803" w:bottom="1440" w:left="1803" w:header="851" w:footer="992" w:gutter="0"/>
          <w:cols w:space="0" w:num="1"/>
          <w:docGrid w:type="lines" w:linePitch="319" w:charSpace="0"/>
        </w:sectPr>
      </w:pPr>
    </w:p>
    <w:p>
      <w:pPr>
        <w:spacing w:line="600" w:lineRule="exact"/>
        <w:rPr>
          <w:rFonts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val="en-US" w:eastAsia="zh-CN"/>
        </w:rPr>
        <w:t>五</w:t>
      </w:r>
      <w:r>
        <w:rPr>
          <w:rFonts w:hint="eastAsia" w:ascii="楷体_GB2312" w:eastAsia="楷体_GB2312"/>
          <w:sz w:val="32"/>
          <w:szCs w:val="32"/>
        </w:rPr>
        <w:t>）部门预算重点项目的绩效目标表</w:t>
      </w:r>
    </w:p>
    <w:tbl>
      <w:tblPr>
        <w:tblStyle w:val="9"/>
        <w:tblW w:w="9506" w:type="dxa"/>
        <w:jc w:val="center"/>
        <w:tblLayout w:type="fixed"/>
        <w:tblCellMar>
          <w:top w:w="0" w:type="dxa"/>
          <w:left w:w="108" w:type="dxa"/>
          <w:bottom w:w="0" w:type="dxa"/>
          <w:right w:w="108" w:type="dxa"/>
        </w:tblCellMar>
      </w:tblPr>
      <w:tblGrid>
        <w:gridCol w:w="1314"/>
        <w:gridCol w:w="1184"/>
        <w:gridCol w:w="1356"/>
        <w:gridCol w:w="1195"/>
        <w:gridCol w:w="887"/>
        <w:gridCol w:w="1381"/>
        <w:gridCol w:w="1349"/>
        <w:gridCol w:w="840"/>
      </w:tblGrid>
      <w:tr>
        <w:tblPrEx>
          <w:tblCellMar>
            <w:top w:w="0" w:type="dxa"/>
            <w:left w:w="108" w:type="dxa"/>
            <w:bottom w:w="0" w:type="dxa"/>
            <w:right w:w="108" w:type="dxa"/>
          </w:tblCellMar>
        </w:tblPrEx>
        <w:trPr>
          <w:trHeight w:val="817" w:hRule="atLeast"/>
          <w:jc w:val="center"/>
        </w:trPr>
        <w:tc>
          <w:tcPr>
            <w:tcW w:w="9506" w:type="dxa"/>
            <w:gridSpan w:val="8"/>
            <w:tcBorders>
              <w:top w:val="nil"/>
              <w:left w:val="nil"/>
              <w:bottom w:val="single" w:color="000000" w:sz="4" w:space="0"/>
              <w:right w:val="nil"/>
            </w:tcBorders>
            <w:vAlign w:val="center"/>
          </w:tcPr>
          <w:p>
            <w:pPr>
              <w:widowControl/>
              <w:jc w:val="center"/>
              <w:rPr>
                <w:rFonts w:ascii="方正小标宋简体" w:eastAsia="方正小标宋简体"/>
                <w:kern w:val="0"/>
                <w:sz w:val="40"/>
                <w:szCs w:val="40"/>
              </w:rPr>
            </w:pPr>
            <w:r>
              <w:rPr>
                <w:rFonts w:hint="eastAsia" w:ascii="方正小标宋简体" w:hAnsi="方正小标宋简体" w:eastAsia="方正小标宋简体" w:cs="方正小标宋简体"/>
                <w:kern w:val="0"/>
                <w:sz w:val="36"/>
                <w:szCs w:val="36"/>
              </w:rPr>
              <w:t>项目支出绩效目标表</w:t>
            </w:r>
          </w:p>
        </w:tc>
      </w:tr>
      <w:tr>
        <w:tblPrEx>
          <w:tblCellMar>
            <w:top w:w="0" w:type="dxa"/>
            <w:left w:w="108" w:type="dxa"/>
            <w:bottom w:w="0" w:type="dxa"/>
            <w:right w:w="108" w:type="dxa"/>
          </w:tblCellMar>
        </w:tblPrEx>
        <w:trPr>
          <w:cantSplit/>
          <w:trHeight w:val="567" w:hRule="atLeast"/>
          <w:jc w:val="center"/>
        </w:trPr>
        <w:tc>
          <w:tcPr>
            <w:tcW w:w="1314" w:type="dxa"/>
            <w:tcBorders>
              <w:top w:val="nil"/>
              <w:left w:val="single" w:color="000000" w:sz="4" w:space="0"/>
              <w:bottom w:val="single" w:color="000000"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项目名称</w:t>
            </w:r>
          </w:p>
        </w:tc>
        <w:tc>
          <w:tcPr>
            <w:tcW w:w="8192" w:type="dxa"/>
            <w:gridSpan w:val="7"/>
            <w:tcBorders>
              <w:top w:val="single" w:color="000000" w:sz="4" w:space="0"/>
              <w:left w:val="nil"/>
              <w:bottom w:val="single" w:color="000000" w:sz="4" w:space="0"/>
              <w:right w:val="single" w:color="000000" w:sz="4" w:space="0"/>
            </w:tcBorders>
            <w:vAlign w:val="center"/>
          </w:tcPr>
          <w:p>
            <w:pPr>
              <w:widowControl/>
              <w:jc w:val="left"/>
              <w:rPr>
                <w:rFonts w:ascii="宋体" w:hAnsi="宋体"/>
                <w:color w:val="000000"/>
                <w:kern w:val="0"/>
                <w:sz w:val="20"/>
                <w:szCs w:val="20"/>
              </w:rPr>
            </w:pPr>
            <w:r>
              <w:rPr>
                <w:rFonts w:hint="eastAsia" w:ascii="宋体" w:hAnsi="宋体"/>
                <w:color w:val="000000"/>
                <w:kern w:val="0"/>
                <w:sz w:val="20"/>
                <w:szCs w:val="20"/>
                <w:lang w:val="en-US" w:eastAsia="zh-CN"/>
              </w:rPr>
              <w:t>审计业务</w:t>
            </w:r>
            <w:r>
              <w:rPr>
                <w:rFonts w:hint="eastAsia" w:ascii="宋体" w:hAnsi="宋体"/>
                <w:color w:val="000000"/>
                <w:kern w:val="0"/>
                <w:sz w:val="20"/>
                <w:szCs w:val="20"/>
              </w:rPr>
              <w:t>专项资金</w:t>
            </w:r>
          </w:p>
        </w:tc>
      </w:tr>
      <w:tr>
        <w:tblPrEx>
          <w:tblCellMar>
            <w:top w:w="0" w:type="dxa"/>
            <w:left w:w="108" w:type="dxa"/>
            <w:bottom w:w="0" w:type="dxa"/>
            <w:right w:w="108" w:type="dxa"/>
          </w:tblCellMar>
        </w:tblPrEx>
        <w:trPr>
          <w:cantSplit/>
          <w:trHeight w:val="567" w:hRule="atLeast"/>
          <w:jc w:val="center"/>
        </w:trPr>
        <w:tc>
          <w:tcPr>
            <w:tcW w:w="1314" w:type="dxa"/>
            <w:tcBorders>
              <w:top w:val="nil"/>
              <w:left w:val="single" w:color="000000" w:sz="4" w:space="0"/>
              <w:bottom w:val="single" w:color="000000"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主管部门</w:t>
            </w:r>
          </w:p>
        </w:tc>
        <w:tc>
          <w:tcPr>
            <w:tcW w:w="8192" w:type="dxa"/>
            <w:gridSpan w:val="7"/>
            <w:tcBorders>
              <w:top w:val="single" w:color="000000" w:sz="4" w:space="0"/>
              <w:left w:val="nil"/>
              <w:bottom w:val="single" w:color="000000" w:sz="4" w:space="0"/>
              <w:right w:val="single" w:color="000000" w:sz="4" w:space="0"/>
            </w:tcBorders>
            <w:vAlign w:val="center"/>
          </w:tcPr>
          <w:p>
            <w:pPr>
              <w:widowControl/>
              <w:jc w:val="left"/>
              <w:rPr>
                <w:rFonts w:ascii="宋体" w:hAnsi="宋体"/>
                <w:kern w:val="0"/>
                <w:sz w:val="20"/>
                <w:szCs w:val="20"/>
              </w:rPr>
            </w:pPr>
            <w:r>
              <w:rPr>
                <w:rFonts w:hint="eastAsia" w:ascii="宋体" w:hAnsi="宋体"/>
                <w:kern w:val="0"/>
                <w:sz w:val="20"/>
                <w:szCs w:val="20"/>
                <w:lang w:val="en-US" w:eastAsia="zh-CN"/>
              </w:rPr>
              <w:t>山东省审计厅</w:t>
            </w:r>
          </w:p>
        </w:tc>
      </w:tr>
      <w:tr>
        <w:tblPrEx>
          <w:tblCellMar>
            <w:top w:w="0" w:type="dxa"/>
            <w:left w:w="108" w:type="dxa"/>
            <w:bottom w:w="0" w:type="dxa"/>
            <w:right w:w="108" w:type="dxa"/>
          </w:tblCellMar>
        </w:tblPrEx>
        <w:trPr>
          <w:cantSplit/>
          <w:trHeight w:val="567" w:hRule="atLeast"/>
          <w:jc w:val="center"/>
        </w:trPr>
        <w:tc>
          <w:tcPr>
            <w:tcW w:w="1314" w:type="dxa"/>
            <w:tcBorders>
              <w:top w:val="nil"/>
              <w:left w:val="single" w:color="000000" w:sz="4" w:space="0"/>
              <w:bottom w:val="single" w:color="000000"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资金情况</w:t>
            </w:r>
          </w:p>
        </w:tc>
        <w:tc>
          <w:tcPr>
            <w:tcW w:w="8192" w:type="dxa"/>
            <w:gridSpan w:val="7"/>
            <w:tcBorders>
              <w:top w:val="nil"/>
              <w:left w:val="nil"/>
              <w:bottom w:val="single" w:color="000000" w:sz="4" w:space="0"/>
              <w:right w:val="single" w:color="000000" w:sz="4" w:space="0"/>
            </w:tcBorders>
            <w:vAlign w:val="center"/>
          </w:tcPr>
          <w:p>
            <w:pPr>
              <w:widowControl/>
              <w:jc w:val="left"/>
              <w:rPr>
                <w:rFonts w:ascii="宋体" w:hAnsi="宋体"/>
                <w:kern w:val="0"/>
                <w:sz w:val="20"/>
                <w:szCs w:val="20"/>
              </w:rPr>
            </w:pPr>
            <w:r>
              <w:rPr>
                <w:rFonts w:hint="eastAsia" w:ascii="宋体" w:hAnsi="宋体"/>
                <w:kern w:val="0"/>
                <w:sz w:val="20"/>
                <w:szCs w:val="20"/>
              </w:rPr>
              <w:t>金额：</w:t>
            </w:r>
            <w:r>
              <w:rPr>
                <w:rFonts w:hint="eastAsia" w:ascii="宋体" w:hAnsi="宋体"/>
                <w:kern w:val="0"/>
                <w:sz w:val="20"/>
                <w:szCs w:val="20"/>
                <w:lang w:val="en-US" w:eastAsia="zh-CN"/>
              </w:rPr>
              <w:t>80</w:t>
            </w:r>
            <w:r>
              <w:rPr>
                <w:rFonts w:hint="eastAsia" w:ascii="宋体" w:hAnsi="宋体"/>
                <w:kern w:val="0"/>
                <w:sz w:val="20"/>
                <w:szCs w:val="20"/>
              </w:rPr>
              <w:t>万元</w:t>
            </w:r>
          </w:p>
        </w:tc>
      </w:tr>
      <w:tr>
        <w:tblPrEx>
          <w:tblCellMar>
            <w:top w:w="0" w:type="dxa"/>
            <w:left w:w="108" w:type="dxa"/>
            <w:bottom w:w="0" w:type="dxa"/>
            <w:right w:w="108" w:type="dxa"/>
          </w:tblCellMar>
        </w:tblPrEx>
        <w:trPr>
          <w:trHeight w:val="397" w:hRule="atLeast"/>
          <w:jc w:val="center"/>
        </w:trPr>
        <w:tc>
          <w:tcPr>
            <w:tcW w:w="1314" w:type="dxa"/>
            <w:vMerge w:val="restart"/>
            <w:tcBorders>
              <w:top w:val="nil"/>
              <w:left w:val="single" w:color="000000"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总体目标</w:t>
            </w:r>
          </w:p>
        </w:tc>
        <w:tc>
          <w:tcPr>
            <w:tcW w:w="4622" w:type="dxa"/>
            <w:gridSpan w:val="4"/>
            <w:tcBorders>
              <w:top w:val="single" w:color="000000" w:sz="4" w:space="0"/>
              <w:left w:val="nil"/>
              <w:bottom w:val="single" w:color="000000" w:sz="4" w:space="0"/>
              <w:right w:val="single" w:color="000000" w:sz="4" w:space="0"/>
            </w:tcBorders>
            <w:vAlign w:val="center"/>
          </w:tcPr>
          <w:p>
            <w:pPr>
              <w:widowControl/>
              <w:jc w:val="center"/>
              <w:rPr>
                <w:rFonts w:ascii="宋体" w:hAnsi="宋体"/>
                <w:b/>
                <w:bCs/>
                <w:kern w:val="0"/>
                <w:sz w:val="20"/>
                <w:szCs w:val="20"/>
              </w:rPr>
            </w:pPr>
            <w:r>
              <w:rPr>
                <w:rFonts w:hint="eastAsia" w:ascii="宋体" w:hAnsi="宋体"/>
                <w:b/>
                <w:bCs/>
                <w:kern w:val="0"/>
                <w:sz w:val="20"/>
                <w:szCs w:val="20"/>
              </w:rPr>
              <w:t>长期目标（</w:t>
            </w:r>
            <w:r>
              <w:rPr>
                <w:rFonts w:hint="eastAsia" w:ascii="宋体" w:hAnsi="宋体"/>
                <w:b/>
                <w:bCs/>
                <w:kern w:val="0"/>
                <w:sz w:val="20"/>
                <w:szCs w:val="20"/>
                <w:lang w:val="en-US" w:eastAsia="zh-CN"/>
              </w:rPr>
              <w:t>2022</w:t>
            </w:r>
            <w:r>
              <w:rPr>
                <w:rFonts w:hint="eastAsia" w:ascii="宋体" w:hAnsi="宋体"/>
                <w:b/>
                <w:bCs/>
                <w:kern w:val="0"/>
                <w:sz w:val="20"/>
                <w:szCs w:val="20"/>
              </w:rPr>
              <w:t>年-</w:t>
            </w:r>
            <w:r>
              <w:rPr>
                <w:rFonts w:hint="eastAsia" w:ascii="宋体" w:hAnsi="宋体"/>
                <w:b/>
                <w:bCs/>
                <w:kern w:val="0"/>
                <w:sz w:val="20"/>
                <w:szCs w:val="20"/>
                <w:lang w:val="en-US" w:eastAsia="zh-CN"/>
              </w:rPr>
              <w:t>2024</w:t>
            </w:r>
            <w:r>
              <w:rPr>
                <w:rFonts w:hint="eastAsia" w:ascii="宋体" w:hAnsi="宋体"/>
                <w:b/>
                <w:bCs/>
                <w:kern w:val="0"/>
                <w:sz w:val="20"/>
                <w:szCs w:val="20"/>
              </w:rPr>
              <w:t>年)</w:t>
            </w:r>
          </w:p>
        </w:tc>
        <w:tc>
          <w:tcPr>
            <w:tcW w:w="3570" w:type="dxa"/>
            <w:gridSpan w:val="3"/>
            <w:tcBorders>
              <w:top w:val="single" w:color="000000" w:sz="4" w:space="0"/>
              <w:left w:val="nil"/>
              <w:bottom w:val="single" w:color="000000" w:sz="4" w:space="0"/>
              <w:right w:val="single" w:color="000000" w:sz="4" w:space="0"/>
            </w:tcBorders>
            <w:vAlign w:val="center"/>
          </w:tcPr>
          <w:p>
            <w:pPr>
              <w:widowControl/>
              <w:jc w:val="center"/>
              <w:rPr>
                <w:rFonts w:ascii="宋体" w:hAnsi="宋体"/>
                <w:b/>
                <w:bCs/>
                <w:kern w:val="0"/>
                <w:sz w:val="20"/>
                <w:szCs w:val="20"/>
              </w:rPr>
            </w:pPr>
            <w:r>
              <w:rPr>
                <w:rFonts w:hint="eastAsia" w:ascii="宋体" w:hAnsi="宋体"/>
                <w:b/>
                <w:bCs/>
                <w:kern w:val="0"/>
                <w:sz w:val="20"/>
                <w:szCs w:val="20"/>
              </w:rPr>
              <w:t>年度目标（2022年）</w:t>
            </w:r>
          </w:p>
        </w:tc>
      </w:tr>
      <w:tr>
        <w:tblPrEx>
          <w:tblCellMar>
            <w:top w:w="0" w:type="dxa"/>
            <w:left w:w="108" w:type="dxa"/>
            <w:bottom w:w="0" w:type="dxa"/>
            <w:right w:w="108" w:type="dxa"/>
          </w:tblCellMar>
        </w:tblPrEx>
        <w:trPr>
          <w:trHeight w:val="1968" w:hRule="atLeast"/>
          <w:jc w:val="center"/>
        </w:trPr>
        <w:tc>
          <w:tcPr>
            <w:tcW w:w="1314" w:type="dxa"/>
            <w:vMerge w:val="continue"/>
            <w:tcBorders>
              <w:left w:val="single" w:color="000000" w:sz="4" w:space="0"/>
              <w:bottom w:val="single" w:color="000000" w:sz="4" w:space="0"/>
              <w:right w:val="single" w:color="000000" w:sz="4" w:space="0"/>
            </w:tcBorders>
            <w:vAlign w:val="center"/>
          </w:tcPr>
          <w:p>
            <w:pPr>
              <w:widowControl/>
              <w:jc w:val="left"/>
              <w:rPr>
                <w:rFonts w:ascii="宋体" w:hAnsi="宋体"/>
                <w:kern w:val="0"/>
                <w:sz w:val="20"/>
                <w:szCs w:val="20"/>
              </w:rPr>
            </w:pPr>
          </w:p>
        </w:tc>
        <w:tc>
          <w:tcPr>
            <w:tcW w:w="4622" w:type="dxa"/>
            <w:gridSpan w:val="4"/>
            <w:tcBorders>
              <w:top w:val="single" w:color="000000" w:sz="4" w:space="0"/>
              <w:left w:val="nil"/>
              <w:bottom w:val="single" w:color="000000" w:sz="4" w:space="0"/>
              <w:right w:val="single" w:color="000000" w:sz="4" w:space="0"/>
            </w:tcBorders>
            <w:vAlign w:val="center"/>
          </w:tcPr>
          <w:p>
            <w:pPr>
              <w:widowControl/>
              <w:jc w:val="left"/>
              <w:rPr>
                <w:rFonts w:ascii="宋体" w:hAnsi="宋体"/>
                <w:color w:val="000000"/>
                <w:kern w:val="0"/>
                <w:sz w:val="20"/>
                <w:szCs w:val="20"/>
              </w:rPr>
            </w:pPr>
            <w:r>
              <w:rPr>
                <w:rFonts w:hint="eastAsia" w:ascii="宋体" w:hAnsi="宋体"/>
                <w:kern w:val="0"/>
                <w:sz w:val="20"/>
                <w:szCs w:val="20"/>
                <w:lang w:val="en-US" w:eastAsia="zh-CN"/>
              </w:rPr>
              <w:t>改进审计手段，提高审计质量，发挥审计监督作用。</w:t>
            </w:r>
          </w:p>
        </w:tc>
        <w:tc>
          <w:tcPr>
            <w:tcW w:w="3570" w:type="dxa"/>
            <w:gridSpan w:val="3"/>
            <w:tcBorders>
              <w:top w:val="single" w:color="000000" w:sz="4" w:space="0"/>
              <w:left w:val="nil"/>
              <w:bottom w:val="single" w:color="000000" w:sz="4" w:space="0"/>
              <w:right w:val="single" w:color="000000" w:sz="4" w:space="0"/>
            </w:tcBorders>
            <w:vAlign w:val="center"/>
          </w:tcPr>
          <w:p>
            <w:pPr>
              <w:widowControl/>
              <w:jc w:val="left"/>
              <w:rPr>
                <w:rFonts w:ascii="宋体" w:hAnsi="宋体"/>
                <w:kern w:val="0"/>
                <w:sz w:val="20"/>
                <w:szCs w:val="20"/>
              </w:rPr>
            </w:pPr>
            <w:r>
              <w:rPr>
                <w:rFonts w:hint="eastAsia" w:ascii="宋体" w:hAnsi="宋体"/>
                <w:kern w:val="0"/>
                <w:sz w:val="20"/>
                <w:szCs w:val="20"/>
                <w:lang w:val="en-US" w:eastAsia="zh-CN"/>
              </w:rPr>
              <w:t>改进审计手段，提高审计质量，发挥审计监督作用</w:t>
            </w:r>
          </w:p>
        </w:tc>
      </w:tr>
      <w:tr>
        <w:tblPrEx>
          <w:tblCellMar>
            <w:top w:w="0" w:type="dxa"/>
            <w:left w:w="108" w:type="dxa"/>
            <w:bottom w:w="0" w:type="dxa"/>
            <w:right w:w="108" w:type="dxa"/>
          </w:tblCellMar>
        </w:tblPrEx>
        <w:trPr>
          <w:trHeight w:val="510" w:hRule="atLeast"/>
          <w:jc w:val="center"/>
        </w:trPr>
        <w:tc>
          <w:tcPr>
            <w:tcW w:w="1314" w:type="dxa"/>
            <w:tcBorders>
              <w:top w:val="nil"/>
              <w:left w:val="single" w:color="000000" w:sz="4" w:space="0"/>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绩效指标</w:t>
            </w:r>
          </w:p>
        </w:tc>
        <w:tc>
          <w:tcPr>
            <w:tcW w:w="1184"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一级指标</w:t>
            </w:r>
          </w:p>
        </w:tc>
        <w:tc>
          <w:tcPr>
            <w:tcW w:w="1356"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二级指标</w:t>
            </w:r>
          </w:p>
        </w:tc>
        <w:tc>
          <w:tcPr>
            <w:tcW w:w="1195"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三级指标</w:t>
            </w:r>
          </w:p>
        </w:tc>
        <w:tc>
          <w:tcPr>
            <w:tcW w:w="887"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指标值</w:t>
            </w:r>
          </w:p>
        </w:tc>
        <w:tc>
          <w:tcPr>
            <w:tcW w:w="1381"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二级指标</w:t>
            </w:r>
          </w:p>
        </w:tc>
        <w:tc>
          <w:tcPr>
            <w:tcW w:w="1349"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三级指标</w:t>
            </w:r>
          </w:p>
        </w:tc>
        <w:tc>
          <w:tcPr>
            <w:tcW w:w="840" w:type="dxa"/>
            <w:tcBorders>
              <w:top w:val="nil"/>
              <w:left w:val="nil"/>
              <w:bottom w:val="single" w:color="auto" w:sz="4" w:space="0"/>
              <w:right w:val="single" w:color="000000" w:sz="4" w:space="0"/>
            </w:tcBorders>
            <w:vAlign w:val="center"/>
          </w:tcPr>
          <w:p>
            <w:pPr>
              <w:widowControl/>
              <w:jc w:val="center"/>
              <w:rPr>
                <w:rFonts w:ascii="宋体" w:hAnsi="宋体"/>
                <w:kern w:val="0"/>
                <w:sz w:val="20"/>
                <w:szCs w:val="20"/>
              </w:rPr>
            </w:pPr>
            <w:r>
              <w:rPr>
                <w:rFonts w:hint="eastAsia" w:ascii="宋体" w:hAnsi="宋体"/>
                <w:kern w:val="0"/>
                <w:sz w:val="20"/>
                <w:szCs w:val="20"/>
              </w:rPr>
              <w:t>指标值</w:t>
            </w:r>
          </w:p>
        </w:tc>
      </w:tr>
      <w:tr>
        <w:tblPrEx>
          <w:tblCellMar>
            <w:top w:w="0" w:type="dxa"/>
            <w:left w:w="108" w:type="dxa"/>
            <w:bottom w:w="0" w:type="dxa"/>
            <w:right w:w="108" w:type="dxa"/>
          </w:tblCellMar>
        </w:tblPrEx>
        <w:trPr>
          <w:trHeight w:val="738" w:hRule="atLeast"/>
          <w:jc w:val="center"/>
        </w:trPr>
        <w:tc>
          <w:tcPr>
            <w:tcW w:w="131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绩效指标</w:t>
            </w:r>
          </w:p>
        </w:tc>
        <w:tc>
          <w:tcPr>
            <w:tcW w:w="1184" w:type="dxa"/>
            <w:vMerge w:val="restart"/>
            <w:tcBorders>
              <w:top w:val="single" w:color="auto" w:sz="4" w:space="0"/>
              <w:left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产出指标</w:t>
            </w:r>
          </w:p>
        </w:tc>
        <w:tc>
          <w:tcPr>
            <w:tcW w:w="135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数量指标</w:t>
            </w:r>
          </w:p>
        </w:tc>
        <w:tc>
          <w:tcPr>
            <w:tcW w:w="11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开展审计次数</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25次　</w:t>
            </w:r>
          </w:p>
        </w:tc>
        <w:tc>
          <w:tcPr>
            <w:tcW w:w="13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数量指标</w:t>
            </w:r>
          </w:p>
        </w:tc>
        <w:tc>
          <w:tcPr>
            <w:tcW w:w="13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会议、培训次数</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9次　</w:t>
            </w:r>
          </w:p>
        </w:tc>
      </w:tr>
      <w:tr>
        <w:tblPrEx>
          <w:tblCellMar>
            <w:top w:w="0" w:type="dxa"/>
            <w:left w:w="108" w:type="dxa"/>
            <w:bottom w:w="0" w:type="dxa"/>
            <w:right w:w="108" w:type="dxa"/>
          </w:tblCellMar>
        </w:tblPrEx>
        <w:trPr>
          <w:trHeight w:val="768" w:hRule="atLeast"/>
          <w:jc w:val="center"/>
        </w:trPr>
        <w:tc>
          <w:tcPr>
            <w:tcW w:w="13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vMerge w:val="continue"/>
            <w:tcBorders>
              <w:left w:val="single" w:color="auto" w:sz="4" w:space="0"/>
              <w:right w:val="single" w:color="auto" w:sz="4" w:space="0"/>
            </w:tcBorders>
            <w:vAlign w:val="center"/>
          </w:tcPr>
          <w:p>
            <w:pPr>
              <w:widowControl/>
              <w:jc w:val="left"/>
              <w:rPr>
                <w:rFonts w:ascii="宋体" w:hAnsi="宋体"/>
                <w:kern w:val="0"/>
                <w:sz w:val="20"/>
                <w:szCs w:val="20"/>
              </w:rPr>
            </w:pPr>
          </w:p>
        </w:tc>
        <w:tc>
          <w:tcPr>
            <w:tcW w:w="135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数量</w:t>
            </w:r>
            <w:r>
              <w:rPr>
                <w:rFonts w:hint="eastAsia" w:ascii="宋体" w:hAnsi="宋体"/>
                <w:kern w:val="0"/>
                <w:sz w:val="20"/>
                <w:szCs w:val="20"/>
              </w:rPr>
              <w:t>指标</w:t>
            </w:r>
          </w:p>
        </w:tc>
        <w:tc>
          <w:tcPr>
            <w:tcW w:w="11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会议、培训开展天数</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40天　</w:t>
            </w:r>
          </w:p>
        </w:tc>
        <w:tc>
          <w:tcPr>
            <w:tcW w:w="13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数量</w:t>
            </w:r>
            <w:r>
              <w:rPr>
                <w:rFonts w:hint="eastAsia" w:ascii="宋体" w:hAnsi="宋体"/>
                <w:kern w:val="0"/>
                <w:sz w:val="20"/>
                <w:szCs w:val="20"/>
              </w:rPr>
              <w:t>指标</w:t>
            </w:r>
          </w:p>
        </w:tc>
        <w:tc>
          <w:tcPr>
            <w:tcW w:w="13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审计单位个数</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30个　</w:t>
            </w:r>
          </w:p>
        </w:tc>
      </w:tr>
      <w:tr>
        <w:tblPrEx>
          <w:tblCellMar>
            <w:top w:w="0" w:type="dxa"/>
            <w:left w:w="108" w:type="dxa"/>
            <w:bottom w:w="0" w:type="dxa"/>
            <w:right w:w="108" w:type="dxa"/>
          </w:tblCellMar>
        </w:tblPrEx>
        <w:trPr>
          <w:trHeight w:val="744" w:hRule="atLeast"/>
          <w:jc w:val="center"/>
        </w:trPr>
        <w:tc>
          <w:tcPr>
            <w:tcW w:w="13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vMerge w:val="continue"/>
            <w:tcBorders>
              <w:left w:val="single" w:color="auto" w:sz="4" w:space="0"/>
              <w:right w:val="single" w:color="auto" w:sz="4" w:space="0"/>
            </w:tcBorders>
            <w:vAlign w:val="center"/>
          </w:tcPr>
          <w:p>
            <w:pPr>
              <w:widowControl/>
              <w:jc w:val="left"/>
              <w:rPr>
                <w:rFonts w:ascii="宋体" w:hAnsi="宋体"/>
                <w:kern w:val="0"/>
                <w:sz w:val="20"/>
                <w:szCs w:val="20"/>
              </w:rPr>
            </w:pPr>
          </w:p>
        </w:tc>
        <w:tc>
          <w:tcPr>
            <w:tcW w:w="135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数量</w:t>
            </w:r>
            <w:r>
              <w:rPr>
                <w:rFonts w:hint="eastAsia" w:ascii="宋体" w:hAnsi="宋体"/>
                <w:kern w:val="0"/>
                <w:sz w:val="20"/>
                <w:szCs w:val="20"/>
              </w:rPr>
              <w:t>指标</w:t>
            </w:r>
          </w:p>
        </w:tc>
        <w:tc>
          <w:tcPr>
            <w:tcW w:w="11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审计天数</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260天</w:t>
            </w:r>
          </w:p>
        </w:tc>
        <w:tc>
          <w:tcPr>
            <w:tcW w:w="13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质量指标</w:t>
            </w:r>
          </w:p>
        </w:tc>
        <w:tc>
          <w:tcPr>
            <w:tcW w:w="13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培训合格率</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＞90%</w:t>
            </w:r>
          </w:p>
        </w:tc>
      </w:tr>
      <w:tr>
        <w:tblPrEx>
          <w:tblCellMar>
            <w:top w:w="0" w:type="dxa"/>
            <w:left w:w="108" w:type="dxa"/>
            <w:bottom w:w="0" w:type="dxa"/>
            <w:right w:w="108" w:type="dxa"/>
          </w:tblCellMar>
        </w:tblPrEx>
        <w:trPr>
          <w:trHeight w:val="758" w:hRule="atLeast"/>
          <w:jc w:val="center"/>
        </w:trPr>
        <w:tc>
          <w:tcPr>
            <w:tcW w:w="13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vMerge w:val="continue"/>
            <w:tcBorders>
              <w:left w:val="single" w:color="auto" w:sz="4" w:space="0"/>
              <w:right w:val="single" w:color="auto" w:sz="4" w:space="0"/>
            </w:tcBorders>
            <w:vAlign w:val="center"/>
          </w:tcPr>
          <w:p>
            <w:pPr>
              <w:widowControl/>
              <w:jc w:val="left"/>
              <w:rPr>
                <w:rFonts w:ascii="宋体" w:hAnsi="宋体"/>
                <w:kern w:val="0"/>
                <w:sz w:val="20"/>
                <w:szCs w:val="20"/>
              </w:rPr>
            </w:pPr>
          </w:p>
        </w:tc>
        <w:tc>
          <w:tcPr>
            <w:tcW w:w="135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质量指标</w:t>
            </w:r>
          </w:p>
        </w:tc>
        <w:tc>
          <w:tcPr>
            <w:tcW w:w="11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审计满足需求程度</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100%</w:t>
            </w:r>
          </w:p>
        </w:tc>
        <w:tc>
          <w:tcPr>
            <w:tcW w:w="13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质量指标</w:t>
            </w:r>
          </w:p>
        </w:tc>
        <w:tc>
          <w:tcPr>
            <w:tcW w:w="13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培训参与度</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＞90%</w:t>
            </w:r>
          </w:p>
        </w:tc>
      </w:tr>
      <w:tr>
        <w:tblPrEx>
          <w:tblCellMar>
            <w:top w:w="0" w:type="dxa"/>
            <w:left w:w="108" w:type="dxa"/>
            <w:bottom w:w="0" w:type="dxa"/>
            <w:right w:w="108" w:type="dxa"/>
          </w:tblCellMar>
        </w:tblPrEx>
        <w:trPr>
          <w:trHeight w:val="648" w:hRule="atLeast"/>
          <w:jc w:val="center"/>
        </w:trPr>
        <w:tc>
          <w:tcPr>
            <w:tcW w:w="13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vMerge w:val="continue"/>
            <w:tcBorders>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356"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时效指标</w:t>
            </w:r>
          </w:p>
        </w:tc>
        <w:tc>
          <w:tcPr>
            <w:tcW w:w="1195"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审计项目开展及时率</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kern w:val="0"/>
                <w:sz w:val="20"/>
                <w:szCs w:val="20"/>
                <w:lang w:val="en-US" w:eastAsia="zh-CN"/>
              </w:rPr>
            </w:pPr>
            <w:r>
              <w:rPr>
                <w:rFonts w:hint="eastAsia" w:ascii="宋体" w:hAnsi="宋体"/>
                <w:kern w:val="0"/>
                <w:sz w:val="20"/>
                <w:szCs w:val="20"/>
                <w:lang w:val="en-US" w:eastAsia="zh-CN"/>
              </w:rPr>
              <w:t>＞90%</w:t>
            </w:r>
          </w:p>
        </w:tc>
        <w:tc>
          <w:tcPr>
            <w:tcW w:w="1381"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时效指标</w:t>
            </w:r>
          </w:p>
        </w:tc>
        <w:tc>
          <w:tcPr>
            <w:tcW w:w="1349"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资金拨付及时率</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100%</w:t>
            </w:r>
          </w:p>
        </w:tc>
      </w:tr>
      <w:tr>
        <w:tblPrEx>
          <w:tblCellMar>
            <w:top w:w="0" w:type="dxa"/>
            <w:left w:w="108" w:type="dxa"/>
            <w:bottom w:w="0" w:type="dxa"/>
            <w:right w:w="108" w:type="dxa"/>
          </w:tblCellMar>
        </w:tblPrEx>
        <w:trPr>
          <w:trHeight w:val="637" w:hRule="atLeast"/>
          <w:jc w:val="center"/>
        </w:trPr>
        <w:tc>
          <w:tcPr>
            <w:tcW w:w="13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效益指标</w:t>
            </w:r>
          </w:p>
        </w:tc>
        <w:tc>
          <w:tcPr>
            <w:tcW w:w="135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社会效益</w:t>
            </w:r>
          </w:p>
        </w:tc>
        <w:tc>
          <w:tcPr>
            <w:tcW w:w="1195"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　提高局相关干部人员的业务</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显著　</w:t>
            </w:r>
          </w:p>
        </w:tc>
        <w:tc>
          <w:tcPr>
            <w:tcW w:w="138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可持续影响指标</w:t>
            </w:r>
          </w:p>
        </w:tc>
        <w:tc>
          <w:tcPr>
            <w:tcW w:w="1349"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r>
              <w:rPr>
                <w:rFonts w:hint="eastAsia" w:ascii="宋体" w:hAnsi="宋体"/>
                <w:kern w:val="0"/>
                <w:sz w:val="20"/>
                <w:szCs w:val="20"/>
              </w:rPr>
              <w:t>　促进行政权力规范运行</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显著</w:t>
            </w:r>
            <w:r>
              <w:rPr>
                <w:rFonts w:hint="eastAsia" w:ascii="宋体" w:hAnsi="宋体"/>
                <w:kern w:val="0"/>
                <w:sz w:val="20"/>
                <w:szCs w:val="20"/>
              </w:rPr>
              <w:t>　</w:t>
            </w:r>
          </w:p>
        </w:tc>
      </w:tr>
      <w:tr>
        <w:tblPrEx>
          <w:tblCellMar>
            <w:top w:w="0" w:type="dxa"/>
            <w:left w:w="108" w:type="dxa"/>
            <w:bottom w:w="0" w:type="dxa"/>
            <w:right w:w="108" w:type="dxa"/>
          </w:tblCellMar>
        </w:tblPrEx>
        <w:trPr>
          <w:trHeight w:val="628" w:hRule="atLeast"/>
          <w:jc w:val="center"/>
        </w:trPr>
        <w:tc>
          <w:tcPr>
            <w:tcW w:w="131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满意度</w:t>
            </w:r>
          </w:p>
          <w:p>
            <w:pPr>
              <w:widowControl/>
              <w:jc w:val="center"/>
              <w:rPr>
                <w:rFonts w:ascii="宋体" w:hAnsi="宋体"/>
                <w:kern w:val="0"/>
                <w:sz w:val="20"/>
                <w:szCs w:val="20"/>
              </w:rPr>
            </w:pPr>
            <w:r>
              <w:rPr>
                <w:rFonts w:hint="eastAsia" w:ascii="宋体" w:hAnsi="宋体"/>
                <w:kern w:val="0"/>
                <w:sz w:val="20"/>
                <w:szCs w:val="20"/>
              </w:rPr>
              <w:t>指标</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rPr>
              <w:t>服务对象满意度指标　</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＞90%</w:t>
            </w:r>
            <w:r>
              <w:rPr>
                <w:rFonts w:hint="eastAsia" w:ascii="宋体" w:hAnsi="宋体"/>
                <w:kern w:val="0"/>
                <w:sz w:val="20"/>
                <w:szCs w:val="20"/>
              </w:rPr>
              <w:t>　</w:t>
            </w:r>
          </w:p>
        </w:tc>
        <w:tc>
          <w:tcPr>
            <w:tcW w:w="2730" w:type="dxa"/>
            <w:gridSpan w:val="2"/>
            <w:tcBorders>
              <w:top w:val="single" w:color="auto" w:sz="4" w:space="0"/>
              <w:left w:val="single" w:color="auto" w:sz="4" w:space="0"/>
              <w:bottom w:val="single" w:color="auto" w:sz="4" w:space="0"/>
              <w:right w:val="single" w:color="auto" w:sz="4" w:space="0"/>
            </w:tcBorders>
            <w:vAlign w:val="center"/>
          </w:tcPr>
          <w:p>
            <w:pPr>
              <w:widowControl/>
              <w:ind w:firstLine="400" w:firstLineChars="200"/>
              <w:jc w:val="both"/>
              <w:rPr>
                <w:rFonts w:hint="default" w:ascii="宋体" w:hAnsi="宋体" w:eastAsia="宋体"/>
                <w:kern w:val="0"/>
                <w:sz w:val="20"/>
                <w:szCs w:val="20"/>
                <w:lang w:val="en-US" w:eastAsia="zh-CN"/>
              </w:rPr>
            </w:pPr>
            <w:r>
              <w:rPr>
                <w:rFonts w:hint="eastAsia" w:ascii="宋体" w:hAnsi="宋体"/>
                <w:kern w:val="0"/>
                <w:sz w:val="20"/>
                <w:szCs w:val="20"/>
                <w:lang w:val="en-US" w:eastAsia="zh-CN"/>
              </w:rPr>
              <w:t>审计人员满意度指标</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kern w:val="0"/>
                <w:sz w:val="20"/>
                <w:szCs w:val="20"/>
              </w:rPr>
            </w:pPr>
            <w:r>
              <w:rPr>
                <w:rFonts w:hint="eastAsia" w:ascii="宋体" w:hAnsi="宋体"/>
                <w:kern w:val="0"/>
                <w:sz w:val="20"/>
                <w:szCs w:val="20"/>
                <w:lang w:val="en-US" w:eastAsia="zh-CN"/>
              </w:rPr>
              <w:t>＞90%</w:t>
            </w:r>
            <w:r>
              <w:rPr>
                <w:rFonts w:hint="eastAsia" w:ascii="宋体" w:hAnsi="宋体"/>
                <w:kern w:val="0"/>
                <w:sz w:val="20"/>
                <w:szCs w:val="20"/>
              </w:rPr>
              <w:t>　</w:t>
            </w:r>
          </w:p>
        </w:tc>
      </w:tr>
      <w:tr>
        <w:tblPrEx>
          <w:tblCellMar>
            <w:top w:w="0" w:type="dxa"/>
            <w:left w:w="108" w:type="dxa"/>
            <w:bottom w:w="0" w:type="dxa"/>
            <w:right w:w="108" w:type="dxa"/>
          </w:tblCellMar>
        </w:tblPrEx>
        <w:trPr>
          <w:trHeight w:val="628" w:hRule="atLeast"/>
          <w:jc w:val="center"/>
        </w:trPr>
        <w:tc>
          <w:tcPr>
            <w:tcW w:w="1314"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kern w:val="0"/>
                <w:sz w:val="20"/>
                <w:szCs w:val="20"/>
              </w:rPr>
            </w:pPr>
          </w:p>
        </w:tc>
        <w:tc>
          <w:tcPr>
            <w:tcW w:w="1184"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kern w:val="0"/>
                <w:sz w:val="20"/>
                <w:szCs w:val="20"/>
                <w:lang w:val="en-US" w:eastAsia="zh-CN"/>
              </w:rPr>
            </w:pPr>
            <w:r>
              <w:rPr>
                <w:rFonts w:hint="eastAsia" w:ascii="宋体" w:hAnsi="宋体"/>
                <w:kern w:val="0"/>
                <w:sz w:val="20"/>
                <w:szCs w:val="20"/>
                <w:lang w:val="en-US" w:eastAsia="zh-CN"/>
              </w:rPr>
              <w:t>成本指标</w:t>
            </w:r>
          </w:p>
        </w:tc>
        <w:tc>
          <w:tcPr>
            <w:tcW w:w="255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eastAsia="宋体"/>
                <w:kern w:val="0"/>
                <w:sz w:val="20"/>
                <w:szCs w:val="20"/>
                <w:lang w:val="en-US" w:eastAsia="zh-CN"/>
              </w:rPr>
            </w:pPr>
            <w:r>
              <w:rPr>
                <w:rFonts w:hint="eastAsia" w:ascii="宋体" w:hAnsi="宋体"/>
                <w:kern w:val="0"/>
                <w:sz w:val="20"/>
                <w:szCs w:val="20"/>
                <w:lang w:val="en-US" w:eastAsia="zh-CN"/>
              </w:rPr>
              <w:t>审计项目人员成本</w:t>
            </w:r>
          </w:p>
        </w:tc>
        <w:tc>
          <w:tcPr>
            <w:tcW w:w="887"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降低或持平</w:t>
            </w:r>
          </w:p>
        </w:tc>
        <w:tc>
          <w:tcPr>
            <w:tcW w:w="2730" w:type="dxa"/>
            <w:gridSpan w:val="2"/>
            <w:tcBorders>
              <w:top w:val="single" w:color="auto" w:sz="4" w:space="0"/>
              <w:left w:val="single" w:color="auto" w:sz="4" w:space="0"/>
              <w:bottom w:val="single" w:color="auto" w:sz="4" w:space="0"/>
              <w:right w:val="single" w:color="auto" w:sz="4" w:space="0"/>
            </w:tcBorders>
            <w:vAlign w:val="center"/>
          </w:tcPr>
          <w:p>
            <w:pPr>
              <w:widowControl/>
              <w:ind w:firstLine="400" w:firstLineChars="200"/>
              <w:jc w:val="both"/>
              <w:rPr>
                <w:rFonts w:hint="default" w:ascii="宋体" w:hAnsi="宋体"/>
                <w:kern w:val="0"/>
                <w:sz w:val="20"/>
                <w:szCs w:val="20"/>
                <w:lang w:val="en-US" w:eastAsia="zh-CN"/>
              </w:rPr>
            </w:pPr>
            <w:r>
              <w:rPr>
                <w:rFonts w:hint="eastAsia" w:ascii="宋体" w:hAnsi="宋体"/>
                <w:kern w:val="0"/>
                <w:sz w:val="20"/>
                <w:szCs w:val="20"/>
                <w:lang w:val="en-US" w:eastAsia="zh-CN"/>
              </w:rPr>
              <w:t>培训成本</w:t>
            </w:r>
          </w:p>
        </w:tc>
        <w:tc>
          <w:tcPr>
            <w:tcW w:w="840" w:type="dxa"/>
            <w:tcBorders>
              <w:top w:val="single" w:color="auto" w:sz="4" w:space="0"/>
              <w:left w:val="single" w:color="auto" w:sz="4" w:space="0"/>
              <w:bottom w:val="single" w:color="auto" w:sz="4" w:space="0"/>
              <w:right w:val="single" w:color="auto" w:sz="4" w:space="0"/>
            </w:tcBorders>
            <w:vAlign w:val="center"/>
          </w:tcPr>
          <w:p>
            <w:pPr>
              <w:widowControl/>
              <w:jc w:val="center"/>
              <w:rPr>
                <w:rFonts w:hint="default" w:ascii="宋体" w:hAnsi="宋体"/>
                <w:kern w:val="0"/>
                <w:sz w:val="20"/>
                <w:szCs w:val="20"/>
                <w:lang w:val="en-US" w:eastAsia="zh-CN"/>
              </w:rPr>
            </w:pPr>
            <w:r>
              <w:rPr>
                <w:rFonts w:hint="eastAsia" w:ascii="宋体" w:hAnsi="宋体"/>
                <w:kern w:val="0"/>
                <w:sz w:val="20"/>
                <w:szCs w:val="20"/>
                <w:lang w:val="en-US" w:eastAsia="zh-CN"/>
              </w:rPr>
              <w:t>降低或持平</w:t>
            </w:r>
          </w:p>
        </w:tc>
      </w:tr>
    </w:tbl>
    <w:p>
      <w:pPr>
        <w:widowControl/>
        <w:jc w:val="left"/>
        <w:rPr>
          <w:rFonts w:ascii="黑体" w:eastAsia="黑体"/>
          <w:b/>
          <w:sz w:val="52"/>
          <w:szCs w:val="52"/>
        </w:rPr>
      </w:pPr>
      <w:r>
        <w:rPr>
          <w:rFonts w:ascii="黑体" w:eastAsia="黑体"/>
          <w:b/>
          <w:sz w:val="52"/>
          <w:szCs w:val="52"/>
        </w:rPr>
        <w:br w:type="page"/>
      </w:r>
      <w:bookmarkStart w:id="5" w:name="_GoBack"/>
      <w:bookmarkEnd w:id="5"/>
    </w:p>
    <w:p>
      <w:pPr>
        <w:rPr>
          <w:rFonts w:ascii="黑体" w:eastAsia="黑体"/>
          <w:sz w:val="52"/>
          <w:szCs w:val="52"/>
        </w:rPr>
      </w:pPr>
      <w:r>
        <w:rPr>
          <w:rFonts w:hint="eastAsia" w:ascii="黑体" w:eastAsia="黑体"/>
          <w:sz w:val="52"/>
          <w:szCs w:val="52"/>
        </w:rPr>
        <w:t>第四部分</w:t>
      </w: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p>
    <w:p>
      <w:pPr>
        <w:jc w:val="center"/>
        <w:rPr>
          <w:rFonts w:ascii="黑体" w:eastAsia="黑体"/>
          <w:sz w:val="52"/>
          <w:szCs w:val="52"/>
        </w:rPr>
      </w:pPr>
      <w:r>
        <w:rPr>
          <w:rFonts w:hint="eastAsia" w:ascii="黑体" w:eastAsia="黑体"/>
          <w:sz w:val="52"/>
          <w:szCs w:val="52"/>
        </w:rPr>
        <w:t>名词解释</w:t>
      </w:r>
    </w:p>
    <w:p>
      <w:pPr>
        <w:rPr>
          <w:rFonts w:ascii="黑体" w:hAnsi="黑体" w:eastAsia="黑体"/>
          <w:sz w:val="32"/>
          <w:szCs w:val="32"/>
        </w:rPr>
      </w:pPr>
      <w:r>
        <w:rPr>
          <w:rFonts w:hint="eastAsia" w:ascii="黑体" w:hAnsi="黑体" w:eastAsia="黑体"/>
          <w:sz w:val="32"/>
          <w:szCs w:val="32"/>
        </w:rPr>
        <w:br w:type="page"/>
      </w:r>
    </w:p>
    <w:p>
      <w:pPr>
        <w:spacing w:line="580" w:lineRule="exact"/>
        <w:ind w:firstLine="600"/>
        <w:rPr>
          <w:rFonts w:ascii="仿宋_GB2312" w:eastAsia="仿宋_GB2312"/>
          <w:sz w:val="32"/>
          <w:szCs w:val="32"/>
        </w:rPr>
      </w:pPr>
      <w:r>
        <w:rPr>
          <w:rFonts w:hint="eastAsia" w:ascii="黑体" w:hAnsi="黑体" w:eastAsia="黑体"/>
          <w:sz w:val="32"/>
          <w:szCs w:val="32"/>
        </w:rPr>
        <w:t>一、财政拨款收入：</w:t>
      </w:r>
      <w:r>
        <w:rPr>
          <w:rFonts w:hint="eastAsia" w:ascii="仿宋_GB2312" w:eastAsia="仿宋_GB2312"/>
          <w:sz w:val="32"/>
          <w:szCs w:val="32"/>
        </w:rPr>
        <w:t>指由省级财政拨款形成的部门收入。按现行管理制度，省级部门预算中反映的财政拨款包括一般公共预算拨款、政府性基金预算拨款和国有资本经营预算拨款。</w:t>
      </w:r>
    </w:p>
    <w:p>
      <w:pPr>
        <w:spacing w:line="580" w:lineRule="exact"/>
        <w:ind w:firstLine="600"/>
        <w:rPr>
          <w:rFonts w:ascii="仿宋_GB2312" w:eastAsia="仿宋_GB2312"/>
          <w:sz w:val="32"/>
          <w:szCs w:val="32"/>
        </w:rPr>
      </w:pPr>
      <w:r>
        <w:rPr>
          <w:rFonts w:hint="eastAsia" w:ascii="黑体" w:hAnsi="黑体" w:eastAsia="黑体"/>
          <w:sz w:val="32"/>
          <w:szCs w:val="32"/>
        </w:rPr>
        <w:t>二、财政专户管理资金</w:t>
      </w:r>
      <w:r>
        <w:rPr>
          <w:rFonts w:hint="eastAsia" w:ascii="仿宋_GB2312" w:eastAsia="仿宋_GB2312"/>
          <w:sz w:val="32"/>
          <w:szCs w:val="32"/>
        </w:rPr>
        <w:t>：指缴入财政专户、实行专项管理的高中以上学费、住宿费、高校委托培养费、函大、电大、夜大及短训班培训费等教育收费。</w:t>
      </w:r>
    </w:p>
    <w:p>
      <w:pPr>
        <w:spacing w:line="580" w:lineRule="exact"/>
        <w:ind w:firstLine="600"/>
        <w:rPr>
          <w:rFonts w:hint="eastAsia" w:ascii="仿宋_GB2312" w:eastAsia="仿宋_GB2312"/>
          <w:sz w:val="32"/>
          <w:szCs w:val="32"/>
        </w:rPr>
      </w:pPr>
      <w:r>
        <w:rPr>
          <w:rFonts w:hint="eastAsia" w:ascii="黑体" w:hAnsi="黑体" w:eastAsia="黑体"/>
          <w:sz w:val="32"/>
          <w:szCs w:val="32"/>
        </w:rPr>
        <w:t>三、事业收入：</w:t>
      </w:r>
      <w:r>
        <w:rPr>
          <w:rFonts w:hint="eastAsia" w:ascii="仿宋_GB2312" w:eastAsia="仿宋_GB2312"/>
          <w:sz w:val="32"/>
          <w:szCs w:val="32"/>
        </w:rPr>
        <w:t>指事业单位开展专业业务活动及辅助活动所取得的收入，不含纳入财政专户管理的教育收费。</w:t>
      </w:r>
    </w:p>
    <w:p>
      <w:pPr>
        <w:spacing w:line="580" w:lineRule="exact"/>
        <w:ind w:firstLine="600"/>
        <w:rPr>
          <w:rFonts w:hint="eastAsia" w:ascii="仿宋_GB2312" w:eastAsia="仿宋_GB2312"/>
          <w:sz w:val="32"/>
          <w:szCs w:val="32"/>
        </w:rPr>
      </w:pPr>
      <w:r>
        <w:rPr>
          <w:rFonts w:hint="eastAsia" w:ascii="黑体" w:hAnsi="黑体" w:eastAsia="黑体"/>
          <w:sz w:val="32"/>
          <w:szCs w:val="32"/>
        </w:rPr>
        <w:t>四、事业单位经营收入：</w:t>
      </w:r>
      <w:r>
        <w:rPr>
          <w:rFonts w:hint="eastAsia" w:ascii="仿宋_GB2312" w:eastAsia="仿宋_GB2312"/>
          <w:sz w:val="32"/>
          <w:szCs w:val="32"/>
        </w:rPr>
        <w:t>指事业单位在专业业务活动及其辅助活动之外开展非独立核算经营活动取得的收入。</w:t>
      </w:r>
    </w:p>
    <w:p>
      <w:pPr>
        <w:spacing w:line="580" w:lineRule="exact"/>
        <w:ind w:firstLine="600"/>
        <w:rPr>
          <w:rFonts w:ascii="仿宋_GB2312" w:eastAsia="仿宋_GB2312"/>
          <w:sz w:val="32"/>
          <w:szCs w:val="32"/>
        </w:rPr>
      </w:pPr>
      <w:r>
        <w:rPr>
          <w:rFonts w:hint="eastAsia" w:ascii="黑体" w:hAnsi="黑体" w:eastAsia="黑体"/>
          <w:sz w:val="32"/>
          <w:szCs w:val="32"/>
        </w:rPr>
        <w:t>五、其他收入：</w:t>
      </w:r>
      <w:r>
        <w:rPr>
          <w:rFonts w:hint="eastAsia" w:ascii="仿宋_GB2312" w:eastAsia="仿宋_GB2312"/>
          <w:sz w:val="32"/>
          <w:szCs w:val="32"/>
        </w:rPr>
        <w:t>指除上述“财政拨款收入”、“事业收入”、“事业单位经营收入”等以外的收入。</w:t>
      </w:r>
    </w:p>
    <w:p>
      <w:pPr>
        <w:spacing w:line="580" w:lineRule="exact"/>
        <w:ind w:firstLine="600"/>
        <w:rPr>
          <w:rFonts w:ascii="仿宋_GB2312" w:eastAsia="仿宋_GB2312"/>
          <w:sz w:val="32"/>
          <w:szCs w:val="32"/>
        </w:rPr>
      </w:pPr>
      <w:r>
        <w:rPr>
          <w:rFonts w:hint="eastAsia" w:ascii="黑体" w:hAnsi="黑体" w:eastAsia="黑体"/>
          <w:sz w:val="32"/>
          <w:szCs w:val="32"/>
        </w:rPr>
        <w:t>六、上级补助收入：</w:t>
      </w:r>
      <w:r>
        <w:rPr>
          <w:rFonts w:hint="eastAsia" w:ascii="仿宋_GB2312" w:eastAsia="仿宋_GB2312"/>
          <w:sz w:val="32"/>
          <w:szCs w:val="32"/>
        </w:rPr>
        <w:t>指单位从主管部门和上级单位取得的非财政补助收入。</w:t>
      </w:r>
    </w:p>
    <w:p>
      <w:pPr>
        <w:spacing w:line="580" w:lineRule="exact"/>
        <w:ind w:firstLine="600"/>
        <w:rPr>
          <w:rFonts w:ascii="仿宋_GB2312" w:eastAsia="仿宋_GB2312"/>
          <w:sz w:val="32"/>
          <w:szCs w:val="32"/>
        </w:rPr>
      </w:pPr>
      <w:r>
        <w:rPr>
          <w:rFonts w:hint="eastAsia" w:ascii="黑体" w:hAnsi="黑体" w:eastAsia="黑体"/>
          <w:sz w:val="32"/>
          <w:szCs w:val="32"/>
        </w:rPr>
        <w:t>七、附属单位上缴收入：</w:t>
      </w:r>
      <w:r>
        <w:rPr>
          <w:rFonts w:hint="eastAsia" w:ascii="仿宋_GB2312" w:eastAsia="仿宋_GB2312"/>
          <w:sz w:val="32"/>
          <w:szCs w:val="32"/>
        </w:rPr>
        <w:t>指本部门所属纳入部门预算编报范围的单位按有关规定上缴的收入。</w:t>
      </w:r>
    </w:p>
    <w:p>
      <w:pPr>
        <w:spacing w:line="580" w:lineRule="exact"/>
        <w:ind w:firstLine="600"/>
        <w:rPr>
          <w:rFonts w:ascii="仿宋_GB2312" w:eastAsia="仿宋_GB2312"/>
          <w:sz w:val="32"/>
          <w:szCs w:val="32"/>
        </w:rPr>
      </w:pPr>
      <w:r>
        <w:rPr>
          <w:rFonts w:hint="eastAsia" w:ascii="黑体" w:hAnsi="黑体" w:eastAsia="黑体"/>
          <w:sz w:val="32"/>
          <w:szCs w:val="32"/>
        </w:rPr>
        <w:t>八、使用非财政拨款结余：</w:t>
      </w:r>
      <w:r>
        <w:rPr>
          <w:rFonts w:hint="eastAsia" w:ascii="仿宋_GB2312" w:eastAsia="仿宋_GB2312"/>
          <w:sz w:val="32"/>
          <w:szCs w:val="32"/>
        </w:rPr>
        <w:t>指本部门所属单位在预计用当年的“财政拨款收入”、“财政专户管理资金收入”、“事业收入”、“事业单位经营收入”、“其他收入”等不足以安排当年支出的情况下，使用以前年度积累结余弥补本年度收支缺口的资金。</w:t>
      </w:r>
    </w:p>
    <w:p>
      <w:pPr>
        <w:spacing w:line="580" w:lineRule="exact"/>
        <w:ind w:firstLine="600"/>
        <w:rPr>
          <w:rFonts w:ascii="仿宋_GB2312" w:eastAsia="仿宋_GB2312"/>
          <w:sz w:val="32"/>
          <w:szCs w:val="32"/>
        </w:rPr>
      </w:pPr>
      <w:r>
        <w:rPr>
          <w:rFonts w:hint="eastAsia" w:ascii="黑体" w:hAnsi="黑体" w:eastAsia="黑体"/>
          <w:sz w:val="32"/>
          <w:szCs w:val="32"/>
        </w:rPr>
        <w:t>九、上年结转：</w:t>
      </w:r>
      <w:r>
        <w:rPr>
          <w:rFonts w:hint="eastAsia" w:ascii="仿宋_GB2312" w:eastAsia="仿宋_GB2312"/>
          <w:sz w:val="32"/>
          <w:szCs w:val="32"/>
        </w:rPr>
        <w:t>指以前年度尚未完成、结转到本年仍按原规定用途继续使用的资金。</w:t>
      </w:r>
    </w:p>
    <w:p>
      <w:pPr>
        <w:spacing w:line="580" w:lineRule="exact"/>
        <w:ind w:firstLine="600"/>
        <w:rPr>
          <w:rFonts w:ascii="仿宋_GB2312" w:eastAsia="仿宋_GB2312"/>
          <w:sz w:val="32"/>
          <w:szCs w:val="32"/>
        </w:rPr>
      </w:pPr>
      <w:r>
        <w:rPr>
          <w:rFonts w:hint="eastAsia" w:ascii="黑体" w:hAnsi="黑体" w:eastAsia="黑体"/>
          <w:sz w:val="32"/>
          <w:szCs w:val="32"/>
        </w:rPr>
        <w:t>十、基本支出：</w:t>
      </w:r>
      <w:r>
        <w:rPr>
          <w:rFonts w:hint="eastAsia" w:ascii="仿宋_GB2312" w:eastAsia="仿宋_GB2312"/>
          <w:sz w:val="32"/>
          <w:szCs w:val="32"/>
        </w:rPr>
        <w:t>指为保障机构正常运转、完成日常工作任务而发生的人员支出和日常公用支出。</w:t>
      </w:r>
    </w:p>
    <w:p>
      <w:pPr>
        <w:spacing w:line="580" w:lineRule="exact"/>
        <w:ind w:firstLine="600"/>
        <w:rPr>
          <w:rFonts w:ascii="仿宋_GB2312" w:eastAsia="仿宋_GB2312"/>
          <w:sz w:val="32"/>
          <w:szCs w:val="32"/>
        </w:rPr>
      </w:pPr>
      <w:r>
        <w:rPr>
          <w:rFonts w:hint="eastAsia" w:ascii="黑体" w:hAnsi="黑体" w:eastAsia="黑体"/>
          <w:sz w:val="32"/>
          <w:szCs w:val="32"/>
        </w:rPr>
        <w:t>十一、项目支出：</w:t>
      </w:r>
      <w:r>
        <w:rPr>
          <w:rFonts w:hint="eastAsia" w:ascii="仿宋_GB2312" w:eastAsia="仿宋_GB2312"/>
          <w:sz w:val="32"/>
          <w:szCs w:val="32"/>
        </w:rPr>
        <w:t>指在基本支出之外为完成特定任务和事业发展目标所发生的支出。</w:t>
      </w:r>
    </w:p>
    <w:p>
      <w:pPr>
        <w:spacing w:line="580" w:lineRule="exact"/>
        <w:ind w:firstLine="600"/>
        <w:rPr>
          <w:rFonts w:ascii="黑体" w:hAnsi="黑体" w:eastAsia="黑体"/>
          <w:sz w:val="32"/>
          <w:szCs w:val="32"/>
        </w:rPr>
      </w:pPr>
      <w:r>
        <w:rPr>
          <w:rFonts w:hint="eastAsia" w:ascii="黑体" w:hAnsi="黑体" w:eastAsia="黑体"/>
          <w:sz w:val="32"/>
          <w:szCs w:val="32"/>
        </w:rPr>
        <w:t>十二、上缴上级支出：</w:t>
      </w:r>
      <w:r>
        <w:rPr>
          <w:rFonts w:hint="eastAsia" w:ascii="仿宋_GB2312" w:eastAsia="仿宋_GB2312"/>
          <w:sz w:val="32"/>
          <w:szCs w:val="32"/>
        </w:rPr>
        <w:t>指下级单位上缴上级的支出。</w:t>
      </w:r>
    </w:p>
    <w:p>
      <w:pPr>
        <w:spacing w:line="580" w:lineRule="exact"/>
        <w:ind w:firstLine="600"/>
        <w:rPr>
          <w:rFonts w:ascii="仿宋_GB2312" w:eastAsia="仿宋_GB2312"/>
          <w:sz w:val="32"/>
          <w:szCs w:val="32"/>
        </w:rPr>
      </w:pPr>
      <w:r>
        <w:rPr>
          <w:rFonts w:hint="eastAsia" w:ascii="黑体" w:hAnsi="黑体" w:eastAsia="黑体"/>
          <w:sz w:val="32"/>
          <w:szCs w:val="32"/>
        </w:rPr>
        <w:t>十三、事业单位经营支出：</w:t>
      </w:r>
      <w:r>
        <w:rPr>
          <w:rFonts w:hint="eastAsia" w:ascii="仿宋_GB2312" w:eastAsia="仿宋_GB2312"/>
          <w:sz w:val="32"/>
          <w:szCs w:val="32"/>
        </w:rPr>
        <w:t>指事业单位在专业业务活动及其辅助活动之外开展非独立核算经营活动发生的支出。</w:t>
      </w:r>
    </w:p>
    <w:p>
      <w:pPr>
        <w:spacing w:line="580" w:lineRule="exact"/>
        <w:ind w:firstLine="600"/>
        <w:rPr>
          <w:rFonts w:ascii="仿宋_GB2312" w:eastAsia="仿宋_GB2312"/>
          <w:sz w:val="32"/>
          <w:szCs w:val="32"/>
        </w:rPr>
      </w:pPr>
      <w:r>
        <w:rPr>
          <w:rFonts w:hint="eastAsia" w:ascii="黑体" w:hAnsi="黑体" w:eastAsia="黑体"/>
          <w:sz w:val="32"/>
          <w:szCs w:val="32"/>
        </w:rPr>
        <w:t>十四、对下级单位补助支出：</w:t>
      </w:r>
      <w:r>
        <w:rPr>
          <w:rFonts w:hint="eastAsia" w:ascii="仿宋_GB2312" w:eastAsia="仿宋_GB2312"/>
          <w:sz w:val="32"/>
          <w:szCs w:val="32"/>
        </w:rPr>
        <w:t>指对下级单位补助发生的支出。</w:t>
      </w:r>
    </w:p>
    <w:p>
      <w:pPr>
        <w:spacing w:line="580" w:lineRule="exact"/>
        <w:ind w:firstLine="600"/>
        <w:rPr>
          <w:rFonts w:ascii="仿宋_GB2312" w:eastAsia="仿宋_GB2312"/>
          <w:sz w:val="32"/>
          <w:szCs w:val="32"/>
        </w:rPr>
      </w:pPr>
      <w:r>
        <w:rPr>
          <w:rFonts w:hint="eastAsia" w:ascii="黑体" w:hAnsi="黑体" w:eastAsia="黑体"/>
          <w:sz w:val="32"/>
          <w:szCs w:val="32"/>
        </w:rPr>
        <w:t>十五、结转下年</w:t>
      </w:r>
      <w:r>
        <w:rPr>
          <w:rFonts w:hint="eastAsia" w:ascii="仿宋_GB2312" w:eastAsia="仿宋_GB2312"/>
          <w:sz w:val="32"/>
          <w:szCs w:val="32"/>
        </w:rPr>
        <w:t>：指以前年度预算安排、因客观条件发生变化无法按原计划实施，需延迟到以后年度按原规定用途继续使用的资金。</w:t>
      </w:r>
    </w:p>
    <w:p>
      <w:pPr>
        <w:spacing w:line="580" w:lineRule="exact"/>
        <w:ind w:firstLine="600"/>
        <w:rPr>
          <w:rFonts w:ascii="仿宋_GB2312" w:eastAsia="仿宋_GB2312"/>
          <w:sz w:val="32"/>
          <w:szCs w:val="32"/>
        </w:rPr>
      </w:pPr>
      <w:r>
        <w:rPr>
          <w:rFonts w:hint="eastAsia" w:ascii="黑体" w:hAnsi="黑体" w:eastAsia="黑体"/>
          <w:sz w:val="32"/>
          <w:szCs w:val="32"/>
        </w:rPr>
        <w:t>十六、“三公”经费：</w:t>
      </w:r>
      <w:r>
        <w:rPr>
          <w:rFonts w:hint="eastAsia" w:ascii="仿宋_GB2312" w:eastAsia="仿宋_GB2312"/>
          <w:sz w:val="32"/>
          <w:szCs w:val="32"/>
        </w:rPr>
        <w:t>指省级部门用一般公共预算财政拨款安排的因公出国（境）费、公务用车购置及运行费和公务接待费。其中，因公出国（境）费反映单位公务出国（境）的国际差旅费、国外城市间交通费、住宿费、伙食费、培训费、公杂费等支出；公务用车购置及运行费反映单位公务用车车辆购置支出（含车辆购置税）及燃料费、维修费、过路过桥费、保险费、安全奖励费用等支出；公务接待费反映单位按规定开支的各类接待（含外宾接待）支出。</w:t>
      </w:r>
    </w:p>
    <w:p>
      <w:pPr>
        <w:spacing w:line="580" w:lineRule="exact"/>
        <w:ind w:firstLine="600"/>
        <w:rPr>
          <w:rFonts w:ascii="仿宋_GB2312" w:eastAsia="仿宋_GB2312"/>
          <w:sz w:val="32"/>
          <w:szCs w:val="32"/>
        </w:rPr>
      </w:pPr>
      <w:r>
        <w:rPr>
          <w:rFonts w:hint="eastAsia" w:ascii="黑体" w:hAnsi="黑体" w:eastAsia="黑体"/>
          <w:sz w:val="32"/>
          <w:szCs w:val="32"/>
        </w:rPr>
        <w:t>十七、机关运行经费：</w:t>
      </w:r>
      <w:r>
        <w:rPr>
          <w:rFonts w:hint="eastAsia" w:ascii="仿宋_GB2312" w:eastAsia="仿宋_GB2312"/>
          <w:sz w:val="32"/>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rPr>
      </w:pPr>
      <w:r>
        <w:rPr>
          <w:rFonts w:hint="eastAsia" w:ascii="黑体" w:hAnsi="黑体" w:eastAsia="黑体"/>
          <w:sz w:val="32"/>
          <w:szCs w:val="32"/>
          <w:highlight w:val="none"/>
          <w:lang w:val="en-US" w:eastAsia="zh-CN"/>
        </w:rPr>
        <w:t>十八</w:t>
      </w:r>
      <w:r>
        <w:rPr>
          <w:rFonts w:hint="eastAsia" w:ascii="黑体" w:hAnsi="宋体" w:eastAsia="黑体" w:cs="黑体"/>
          <w:kern w:val="2"/>
          <w:sz w:val="32"/>
          <w:szCs w:val="32"/>
          <w:lang w:val="en-US" w:eastAsia="zh-CN" w:bidi="ar"/>
        </w:rPr>
        <w:t>、一般公共服务支出（类）审计事务（款）行政运行（项）：</w:t>
      </w:r>
      <w:r>
        <w:rPr>
          <w:rFonts w:hint="eastAsia" w:ascii="仿宋" w:hAnsi="仿宋" w:eastAsia="仿宋" w:cs="仿宋"/>
          <w:kern w:val="2"/>
          <w:sz w:val="32"/>
          <w:szCs w:val="32"/>
          <w:lang w:val="en-US" w:eastAsia="zh-CN" w:bidi="ar"/>
        </w:rPr>
        <w:t>反映行政单位（包括实行公务员管理的事业单位）的基本支出。</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lang w:val="en-US" w:eastAsia="zh-CN" w:bidi="ar"/>
        </w:rPr>
      </w:pPr>
      <w:r>
        <w:rPr>
          <w:rFonts w:hint="eastAsia" w:ascii="黑体" w:hAnsi="宋体" w:eastAsia="黑体" w:cs="黑体"/>
          <w:kern w:val="2"/>
          <w:sz w:val="32"/>
          <w:szCs w:val="32"/>
          <w:lang w:val="en-US" w:eastAsia="zh-CN" w:bidi="ar"/>
        </w:rPr>
        <w:t>十九、一般公共服务支出（类）审计事务（款）事业运行（项）：</w:t>
      </w:r>
      <w:r>
        <w:rPr>
          <w:rFonts w:hint="eastAsia" w:ascii="仿宋" w:hAnsi="仿宋" w:eastAsia="仿宋" w:cs="仿宋"/>
          <w:kern w:val="2"/>
          <w:sz w:val="32"/>
          <w:szCs w:val="32"/>
          <w:lang w:val="en-US" w:eastAsia="zh-CN" w:bidi="ar"/>
        </w:rPr>
        <w:t>反映事业单位的基本支出，不包括行政单位（包括实行公务员管理的事业单位）后勤服务中心、医务室等附属事业单位。</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lang w:val="en-US" w:eastAsia="zh-CN" w:bidi="ar"/>
        </w:rPr>
      </w:pPr>
      <w:r>
        <w:rPr>
          <w:rFonts w:hint="eastAsia" w:ascii="黑体" w:hAnsi="宋体" w:eastAsia="黑体" w:cs="黑体"/>
          <w:kern w:val="2"/>
          <w:sz w:val="32"/>
          <w:szCs w:val="32"/>
          <w:lang w:val="en-US" w:eastAsia="zh-CN" w:bidi="ar"/>
        </w:rPr>
        <w:t>二十、一般公共服务支出（类）审计事务（款）审计业务（项）：</w:t>
      </w:r>
      <w:r>
        <w:rPr>
          <w:rFonts w:hint="eastAsia" w:ascii="仿宋" w:hAnsi="仿宋" w:eastAsia="仿宋" w:cs="仿宋"/>
          <w:kern w:val="2"/>
          <w:sz w:val="32"/>
          <w:szCs w:val="32"/>
          <w:lang w:val="en-US" w:eastAsia="zh-CN" w:bidi="ar"/>
        </w:rPr>
        <w:t>反映各级审计机构的审计、专项审计调查、聘请社会审计组织人员及技术专家等方面的支出。</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lang w:val="en-US" w:eastAsia="zh-CN" w:bidi="ar"/>
        </w:rPr>
      </w:pPr>
      <w:r>
        <w:rPr>
          <w:rFonts w:hint="eastAsia" w:ascii="黑体" w:hAnsi="宋体" w:eastAsia="黑体" w:cs="黑体"/>
          <w:kern w:val="2"/>
          <w:sz w:val="32"/>
          <w:szCs w:val="32"/>
          <w:lang w:val="en-US" w:eastAsia="zh-CN" w:bidi="ar"/>
        </w:rPr>
        <w:t>二十一、一般公共服务支出（类）审计事务（款）审计业务（项）：</w:t>
      </w:r>
      <w:r>
        <w:rPr>
          <w:rFonts w:hint="eastAsia" w:ascii="仿宋" w:hAnsi="仿宋" w:eastAsia="仿宋" w:cs="仿宋"/>
          <w:kern w:val="2"/>
          <w:sz w:val="32"/>
          <w:szCs w:val="32"/>
          <w:lang w:val="en-US" w:eastAsia="zh-CN" w:bidi="ar"/>
        </w:rPr>
        <w:t>反映各级审计机构的审计、专项审计调查、聘请社会审计组织人员及技术专家等方面的支出。</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rPr>
      </w:pPr>
      <w:r>
        <w:rPr>
          <w:rFonts w:hint="eastAsia" w:ascii="黑体" w:hAnsi="宋体" w:eastAsia="黑体" w:cs="黑体"/>
          <w:kern w:val="2"/>
          <w:sz w:val="32"/>
          <w:szCs w:val="32"/>
          <w:lang w:val="en-US" w:eastAsia="zh-CN" w:bidi="ar"/>
        </w:rPr>
        <w:t>二十二、社会保障和就业支出（类）行政事业单位离退休（款）机关事业单位基本养老保险缴费支出（项）：</w:t>
      </w:r>
      <w:r>
        <w:rPr>
          <w:rFonts w:hint="eastAsia" w:ascii="仿宋" w:hAnsi="仿宋" w:eastAsia="仿宋" w:cs="仿宋"/>
          <w:kern w:val="2"/>
          <w:sz w:val="32"/>
          <w:szCs w:val="32"/>
          <w:lang w:val="en-US" w:eastAsia="zh-CN" w:bidi="ar"/>
        </w:rPr>
        <w:t>反映机关事业单位实施养老保险制度由单位缴纳的基本养老保险费支出。</w:t>
      </w:r>
    </w:p>
    <w:p>
      <w:pPr>
        <w:keepNext w:val="0"/>
        <w:keepLines w:val="0"/>
        <w:widowControl w:val="0"/>
        <w:suppressLineNumbers w:val="0"/>
        <w:spacing w:before="0" w:beforeAutospacing="0" w:after="0" w:afterAutospacing="0" w:line="540" w:lineRule="exact"/>
        <w:ind w:right="0" w:firstLine="640" w:firstLineChars="200"/>
        <w:jc w:val="both"/>
        <w:rPr>
          <w:rFonts w:hint="eastAsia" w:ascii="仿宋" w:hAnsi="仿宋" w:eastAsia="仿宋" w:cs="仿宋"/>
          <w:kern w:val="2"/>
          <w:sz w:val="32"/>
          <w:szCs w:val="32"/>
        </w:rPr>
      </w:pPr>
      <w:r>
        <w:rPr>
          <w:rFonts w:hint="eastAsia" w:ascii="黑体" w:hAnsi="宋体" w:eastAsia="黑体" w:cs="黑体"/>
          <w:kern w:val="2"/>
          <w:sz w:val="32"/>
          <w:szCs w:val="32"/>
          <w:lang w:val="en-US" w:eastAsia="zh-CN" w:bidi="ar"/>
        </w:rPr>
        <w:t>二十三、卫生健康支出（类）行政事业单位医疗（款）行政单位医疗（项）：</w:t>
      </w:r>
      <w:r>
        <w:rPr>
          <w:rFonts w:hint="eastAsia" w:ascii="仿宋" w:hAnsi="仿宋" w:eastAsia="仿宋" w:cs="仿宋"/>
          <w:kern w:val="2"/>
          <w:sz w:val="32"/>
          <w:szCs w:val="32"/>
          <w:lang w:val="en-US" w:eastAsia="zh-CN" w:bidi="ar"/>
        </w:rPr>
        <w:t>反映财政部门安排的行政单位（包括实行公务员管理的事业单位）基本医疗保险缴费经费，未参加医疗保险的行政单位的公费医疗经费，按国家规定享受离休人员、红军老战士待遇人员的医疗经费。</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rPr>
      </w:pPr>
      <w:r>
        <w:rPr>
          <w:rFonts w:hint="eastAsia" w:ascii="黑体" w:hAnsi="宋体" w:eastAsia="黑体" w:cs="黑体"/>
          <w:kern w:val="2"/>
          <w:sz w:val="32"/>
          <w:szCs w:val="32"/>
          <w:lang w:val="en-US" w:eastAsia="zh-CN" w:bidi="ar"/>
        </w:rPr>
        <w:t>二十四、卫生健康支出（类）行政事业单位医疗（款）事业单位医疗（项）：</w:t>
      </w:r>
      <w:r>
        <w:rPr>
          <w:rFonts w:hint="eastAsia" w:ascii="仿宋" w:hAnsi="仿宋" w:eastAsia="仿宋" w:cs="仿宋"/>
          <w:kern w:val="2"/>
          <w:sz w:val="32"/>
          <w:szCs w:val="32"/>
          <w:lang w:val="en-US" w:eastAsia="zh-CN" w:bidi="ar"/>
        </w:rPr>
        <w:t>反映财政部门安排的事业单位基本医疗保险缴费经费，未参加医疗保险的事业单位的公费医疗经费，按国家规定享受离休人员待遇的医疗经费</w:t>
      </w:r>
    </w:p>
    <w:p>
      <w:pPr>
        <w:keepNext w:val="0"/>
        <w:keepLines w:val="0"/>
        <w:widowControl w:val="0"/>
        <w:suppressLineNumbers w:val="0"/>
        <w:spacing w:before="0" w:beforeAutospacing="0" w:after="0" w:afterAutospacing="0" w:line="540" w:lineRule="exact"/>
        <w:ind w:left="0" w:right="0" w:firstLine="640" w:firstLineChars="200"/>
        <w:jc w:val="both"/>
        <w:rPr>
          <w:rFonts w:hint="eastAsia" w:ascii="仿宋" w:hAnsi="仿宋" w:eastAsia="仿宋" w:cs="仿宋"/>
          <w:kern w:val="2"/>
          <w:sz w:val="32"/>
          <w:szCs w:val="32"/>
        </w:rPr>
      </w:pPr>
      <w:r>
        <w:rPr>
          <w:rFonts w:hint="eastAsia" w:ascii="黑体" w:hAnsi="宋体" w:eastAsia="黑体" w:cs="黑体"/>
          <w:kern w:val="2"/>
          <w:sz w:val="32"/>
          <w:szCs w:val="32"/>
          <w:lang w:val="en-US" w:eastAsia="zh-CN" w:bidi="ar"/>
        </w:rPr>
        <w:t>二十五、卫生健康支出（类）行政事业单位医疗（款）其他行政事业单位医疗支出（项）：</w:t>
      </w:r>
      <w:r>
        <w:rPr>
          <w:rFonts w:hint="eastAsia" w:ascii="仿宋" w:hAnsi="仿宋" w:eastAsia="仿宋" w:cs="仿宋"/>
          <w:kern w:val="2"/>
          <w:sz w:val="32"/>
          <w:szCs w:val="32"/>
          <w:lang w:val="en-US" w:eastAsia="zh-CN" w:bidi="ar"/>
        </w:rPr>
        <w:t>反映除上述项目以外的其他用于行政事业单位医疗方面的支出。</w:t>
      </w:r>
    </w:p>
    <w:p>
      <w:pPr>
        <w:keepNext w:val="0"/>
        <w:keepLines w:val="0"/>
        <w:pageBreakBefore w:val="0"/>
        <w:widowControl w:val="0"/>
        <w:kinsoku/>
        <w:wordWrap/>
        <w:overflowPunct/>
        <w:topLinePunct w:val="0"/>
        <w:autoSpaceDE/>
        <w:autoSpaceDN/>
        <w:bidi w:val="0"/>
        <w:adjustRightInd/>
        <w:snapToGrid/>
        <w:spacing w:line="580" w:lineRule="exact"/>
        <w:ind w:firstLine="600"/>
        <w:textAlignment w:val="auto"/>
        <w:rPr>
          <w:rFonts w:hint="eastAsia" w:ascii="仿宋_GB2312" w:eastAsia="仿宋_GB2312"/>
          <w:b/>
          <w:color w:val="FF0000"/>
          <w:sz w:val="32"/>
          <w:szCs w:val="32"/>
          <w:highlight w:val="yellow"/>
        </w:rPr>
      </w:pPr>
    </w:p>
    <w:p>
      <w:pPr>
        <w:spacing w:line="580" w:lineRule="exact"/>
        <w:ind w:firstLine="600"/>
        <w:rPr>
          <w:rFonts w:hint="eastAsia" w:ascii="仿宋_GB2312" w:eastAsia="仿宋_GB2312"/>
          <w:sz w:val="32"/>
          <w:szCs w:val="32"/>
          <w:highlight w:val="yellow"/>
        </w:rPr>
      </w:pPr>
    </w:p>
    <w:p>
      <w:pPr>
        <w:spacing w:line="580" w:lineRule="exact"/>
        <w:ind w:firstLine="600"/>
        <w:rPr>
          <w:rFonts w:ascii="仿宋_GB2312" w:eastAsia="仿宋_GB2312"/>
          <w:b/>
          <w:sz w:val="32"/>
          <w:szCs w:val="32"/>
        </w:rPr>
      </w:pPr>
    </w:p>
    <w:sectPr>
      <w:pgSz w:w="11906" w:h="16838"/>
      <w:pgMar w:top="2041" w:right="1701" w:bottom="2041" w:left="1701"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rPr>
        <w:rStyle w:val="11"/>
        <w:rFonts w:hint="eastAsia"/>
        <w:sz w:val="24"/>
        <w:szCs w:val="24"/>
      </w:rPr>
      <w:t xml:space="preserve">— </w:t>
    </w:r>
    <w:r>
      <w:rPr>
        <w:sz w:val="24"/>
        <w:szCs w:val="24"/>
      </w:rPr>
      <w:fldChar w:fldCharType="begin"/>
    </w:r>
    <w:r>
      <w:rPr>
        <w:sz w:val="24"/>
        <w:szCs w:val="24"/>
      </w:rPr>
      <w:instrText xml:space="preserve"> PAGE   \* MERGEFORMAT </w:instrText>
    </w:r>
    <w:r>
      <w:rPr>
        <w:sz w:val="24"/>
        <w:szCs w:val="24"/>
      </w:rPr>
      <w:fldChar w:fldCharType="separate"/>
    </w:r>
    <w:r>
      <w:rPr>
        <w:sz w:val="24"/>
        <w:szCs w:val="24"/>
        <w:lang w:val="zh-CN"/>
      </w:rPr>
      <w:t>9</w:t>
    </w:r>
    <w:r>
      <w:rPr>
        <w:sz w:val="24"/>
        <w:szCs w:val="24"/>
      </w:rPr>
      <w:fldChar w:fldCharType="end"/>
    </w:r>
    <w:r>
      <w:rPr>
        <w:rFonts w:hint="eastAsia"/>
        <w:sz w:val="24"/>
        <w:szCs w:val="24"/>
      </w:rPr>
      <w:t xml:space="preserve"> </w:t>
    </w:r>
    <w:r>
      <w:rPr>
        <w:rStyle w:val="11"/>
        <w:rFonts w:hint="eastAsia"/>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333382"/>
    <w:multiLevelType w:val="singleLevel"/>
    <w:tmpl w:val="0933338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008A"/>
    <w:rsid w:val="00010673"/>
    <w:rsid w:val="00011C7A"/>
    <w:rsid w:val="00022AAD"/>
    <w:rsid w:val="00023625"/>
    <w:rsid w:val="00054C69"/>
    <w:rsid w:val="000554CC"/>
    <w:rsid w:val="0005742A"/>
    <w:rsid w:val="00075A6F"/>
    <w:rsid w:val="00081D39"/>
    <w:rsid w:val="000A703B"/>
    <w:rsid w:val="000B54D1"/>
    <w:rsid w:val="000C3779"/>
    <w:rsid w:val="000C5088"/>
    <w:rsid w:val="000E4BB7"/>
    <w:rsid w:val="000F1C1C"/>
    <w:rsid w:val="000F26CD"/>
    <w:rsid w:val="001058DE"/>
    <w:rsid w:val="00125875"/>
    <w:rsid w:val="00142033"/>
    <w:rsid w:val="00144AE4"/>
    <w:rsid w:val="00157BE7"/>
    <w:rsid w:val="00164920"/>
    <w:rsid w:val="00172A27"/>
    <w:rsid w:val="00174DB6"/>
    <w:rsid w:val="00192758"/>
    <w:rsid w:val="001936DE"/>
    <w:rsid w:val="001A66D1"/>
    <w:rsid w:val="001A6D02"/>
    <w:rsid w:val="001A7F8B"/>
    <w:rsid w:val="001B7F02"/>
    <w:rsid w:val="001C3983"/>
    <w:rsid w:val="001D0BE4"/>
    <w:rsid w:val="001D1EE8"/>
    <w:rsid w:val="001E2FB2"/>
    <w:rsid w:val="001E40F8"/>
    <w:rsid w:val="001E5997"/>
    <w:rsid w:val="001E6045"/>
    <w:rsid w:val="0020356F"/>
    <w:rsid w:val="00210987"/>
    <w:rsid w:val="0023161F"/>
    <w:rsid w:val="00246875"/>
    <w:rsid w:val="00252E84"/>
    <w:rsid w:val="00281CB7"/>
    <w:rsid w:val="002911CA"/>
    <w:rsid w:val="002C146D"/>
    <w:rsid w:val="002C2328"/>
    <w:rsid w:val="002C3125"/>
    <w:rsid w:val="002D6A50"/>
    <w:rsid w:val="002E44DB"/>
    <w:rsid w:val="002F70B0"/>
    <w:rsid w:val="00300F0C"/>
    <w:rsid w:val="00307AD7"/>
    <w:rsid w:val="00320249"/>
    <w:rsid w:val="00326BEE"/>
    <w:rsid w:val="00333CC4"/>
    <w:rsid w:val="00344896"/>
    <w:rsid w:val="00357493"/>
    <w:rsid w:val="0036153A"/>
    <w:rsid w:val="00362E74"/>
    <w:rsid w:val="00375DFB"/>
    <w:rsid w:val="00377C97"/>
    <w:rsid w:val="00382B98"/>
    <w:rsid w:val="003917E8"/>
    <w:rsid w:val="00396A7C"/>
    <w:rsid w:val="00396E9A"/>
    <w:rsid w:val="003B12A8"/>
    <w:rsid w:val="003B5303"/>
    <w:rsid w:val="003C1F30"/>
    <w:rsid w:val="003E270E"/>
    <w:rsid w:val="003E7E61"/>
    <w:rsid w:val="003F19BA"/>
    <w:rsid w:val="003F51F9"/>
    <w:rsid w:val="0040574B"/>
    <w:rsid w:val="00410076"/>
    <w:rsid w:val="00413E62"/>
    <w:rsid w:val="00433164"/>
    <w:rsid w:val="00443B37"/>
    <w:rsid w:val="004463D0"/>
    <w:rsid w:val="004535AF"/>
    <w:rsid w:val="004561C5"/>
    <w:rsid w:val="00456274"/>
    <w:rsid w:val="00456E33"/>
    <w:rsid w:val="00457A00"/>
    <w:rsid w:val="00464A5A"/>
    <w:rsid w:val="00482FA0"/>
    <w:rsid w:val="00491923"/>
    <w:rsid w:val="004B1D9B"/>
    <w:rsid w:val="004B4DEE"/>
    <w:rsid w:val="004B698B"/>
    <w:rsid w:val="004C01FE"/>
    <w:rsid w:val="004C0C5F"/>
    <w:rsid w:val="004C2244"/>
    <w:rsid w:val="004C6C96"/>
    <w:rsid w:val="004F1661"/>
    <w:rsid w:val="00513FB9"/>
    <w:rsid w:val="00523619"/>
    <w:rsid w:val="00526039"/>
    <w:rsid w:val="00532FF8"/>
    <w:rsid w:val="00537128"/>
    <w:rsid w:val="0054312E"/>
    <w:rsid w:val="0054525E"/>
    <w:rsid w:val="00564CF2"/>
    <w:rsid w:val="00565B9C"/>
    <w:rsid w:val="005672CA"/>
    <w:rsid w:val="005725DE"/>
    <w:rsid w:val="0057478D"/>
    <w:rsid w:val="00586C50"/>
    <w:rsid w:val="00595BAF"/>
    <w:rsid w:val="005A45F6"/>
    <w:rsid w:val="005A7973"/>
    <w:rsid w:val="005B4E3B"/>
    <w:rsid w:val="005C3F56"/>
    <w:rsid w:val="005C4097"/>
    <w:rsid w:val="005C6857"/>
    <w:rsid w:val="005D42DE"/>
    <w:rsid w:val="005E08E7"/>
    <w:rsid w:val="005E2CB9"/>
    <w:rsid w:val="005F2614"/>
    <w:rsid w:val="005F4857"/>
    <w:rsid w:val="00601E54"/>
    <w:rsid w:val="00605FC9"/>
    <w:rsid w:val="0060682E"/>
    <w:rsid w:val="0061336E"/>
    <w:rsid w:val="00613717"/>
    <w:rsid w:val="006242FD"/>
    <w:rsid w:val="0062436A"/>
    <w:rsid w:val="00627600"/>
    <w:rsid w:val="00632F83"/>
    <w:rsid w:val="006367A4"/>
    <w:rsid w:val="00647B29"/>
    <w:rsid w:val="00651441"/>
    <w:rsid w:val="006568FE"/>
    <w:rsid w:val="006635EB"/>
    <w:rsid w:val="00663871"/>
    <w:rsid w:val="00666526"/>
    <w:rsid w:val="006714BD"/>
    <w:rsid w:val="00676A2F"/>
    <w:rsid w:val="00680289"/>
    <w:rsid w:val="00696318"/>
    <w:rsid w:val="006A3F79"/>
    <w:rsid w:val="006D088E"/>
    <w:rsid w:val="006F4CF8"/>
    <w:rsid w:val="00734500"/>
    <w:rsid w:val="00736447"/>
    <w:rsid w:val="007365A6"/>
    <w:rsid w:val="00740EB1"/>
    <w:rsid w:val="00743021"/>
    <w:rsid w:val="00753BBD"/>
    <w:rsid w:val="00766BC8"/>
    <w:rsid w:val="007714BA"/>
    <w:rsid w:val="00782C07"/>
    <w:rsid w:val="00786CB5"/>
    <w:rsid w:val="007918FF"/>
    <w:rsid w:val="007B2057"/>
    <w:rsid w:val="007B5C17"/>
    <w:rsid w:val="007B6487"/>
    <w:rsid w:val="007C3180"/>
    <w:rsid w:val="007C7FD6"/>
    <w:rsid w:val="007E27E8"/>
    <w:rsid w:val="007F0D14"/>
    <w:rsid w:val="007F25AC"/>
    <w:rsid w:val="007F27CE"/>
    <w:rsid w:val="008060F8"/>
    <w:rsid w:val="00807D77"/>
    <w:rsid w:val="00816987"/>
    <w:rsid w:val="008210BF"/>
    <w:rsid w:val="00823DBB"/>
    <w:rsid w:val="00827E5D"/>
    <w:rsid w:val="00834DBE"/>
    <w:rsid w:val="0083589D"/>
    <w:rsid w:val="00844B89"/>
    <w:rsid w:val="00854246"/>
    <w:rsid w:val="00857D93"/>
    <w:rsid w:val="00860AC6"/>
    <w:rsid w:val="00865D77"/>
    <w:rsid w:val="00877BA1"/>
    <w:rsid w:val="00877DAA"/>
    <w:rsid w:val="00883A47"/>
    <w:rsid w:val="0088469B"/>
    <w:rsid w:val="0088708B"/>
    <w:rsid w:val="00887309"/>
    <w:rsid w:val="00895E6A"/>
    <w:rsid w:val="008A3366"/>
    <w:rsid w:val="008A7B7A"/>
    <w:rsid w:val="008B2FDE"/>
    <w:rsid w:val="008B7792"/>
    <w:rsid w:val="008B7B09"/>
    <w:rsid w:val="008D11E7"/>
    <w:rsid w:val="008D25F8"/>
    <w:rsid w:val="008D4BAE"/>
    <w:rsid w:val="008E09AD"/>
    <w:rsid w:val="008E4239"/>
    <w:rsid w:val="008E668C"/>
    <w:rsid w:val="008F6960"/>
    <w:rsid w:val="00913422"/>
    <w:rsid w:val="0091725F"/>
    <w:rsid w:val="00923DFF"/>
    <w:rsid w:val="009256CA"/>
    <w:rsid w:val="009263E0"/>
    <w:rsid w:val="00930D16"/>
    <w:rsid w:val="00937B2C"/>
    <w:rsid w:val="00965C3C"/>
    <w:rsid w:val="00966F76"/>
    <w:rsid w:val="00967768"/>
    <w:rsid w:val="009742D6"/>
    <w:rsid w:val="00980CD1"/>
    <w:rsid w:val="0098541F"/>
    <w:rsid w:val="00992B09"/>
    <w:rsid w:val="00993D2B"/>
    <w:rsid w:val="00996C23"/>
    <w:rsid w:val="009A1948"/>
    <w:rsid w:val="009C7F4F"/>
    <w:rsid w:val="009D43E3"/>
    <w:rsid w:val="009D6E8A"/>
    <w:rsid w:val="009E11C2"/>
    <w:rsid w:val="009E1D91"/>
    <w:rsid w:val="009E5F94"/>
    <w:rsid w:val="009E7511"/>
    <w:rsid w:val="009F1A21"/>
    <w:rsid w:val="009F3DA3"/>
    <w:rsid w:val="00A01963"/>
    <w:rsid w:val="00A10301"/>
    <w:rsid w:val="00A149B0"/>
    <w:rsid w:val="00A22D74"/>
    <w:rsid w:val="00A230E5"/>
    <w:rsid w:val="00A243FB"/>
    <w:rsid w:val="00A35FA3"/>
    <w:rsid w:val="00A44CD6"/>
    <w:rsid w:val="00A667E8"/>
    <w:rsid w:val="00A74D21"/>
    <w:rsid w:val="00A90E62"/>
    <w:rsid w:val="00A910E2"/>
    <w:rsid w:val="00A91FC6"/>
    <w:rsid w:val="00A935AF"/>
    <w:rsid w:val="00AA047B"/>
    <w:rsid w:val="00AB1FB6"/>
    <w:rsid w:val="00AD6A16"/>
    <w:rsid w:val="00AE406B"/>
    <w:rsid w:val="00AF1036"/>
    <w:rsid w:val="00B06B96"/>
    <w:rsid w:val="00B11A86"/>
    <w:rsid w:val="00B15E4A"/>
    <w:rsid w:val="00B178ED"/>
    <w:rsid w:val="00B21243"/>
    <w:rsid w:val="00B2186A"/>
    <w:rsid w:val="00B22627"/>
    <w:rsid w:val="00B243D9"/>
    <w:rsid w:val="00B31894"/>
    <w:rsid w:val="00B330FE"/>
    <w:rsid w:val="00B4498A"/>
    <w:rsid w:val="00B50117"/>
    <w:rsid w:val="00B53C8D"/>
    <w:rsid w:val="00B55D40"/>
    <w:rsid w:val="00B64269"/>
    <w:rsid w:val="00B80B3A"/>
    <w:rsid w:val="00B9458D"/>
    <w:rsid w:val="00BA0B64"/>
    <w:rsid w:val="00BA40B9"/>
    <w:rsid w:val="00BA5FD5"/>
    <w:rsid w:val="00BB54C8"/>
    <w:rsid w:val="00BC28B5"/>
    <w:rsid w:val="00BC58D9"/>
    <w:rsid w:val="00BC76AB"/>
    <w:rsid w:val="00BC7877"/>
    <w:rsid w:val="00BD5179"/>
    <w:rsid w:val="00BD6D00"/>
    <w:rsid w:val="00BF6985"/>
    <w:rsid w:val="00C021D9"/>
    <w:rsid w:val="00C04BA3"/>
    <w:rsid w:val="00C073BC"/>
    <w:rsid w:val="00C27DE9"/>
    <w:rsid w:val="00C317B3"/>
    <w:rsid w:val="00C3322D"/>
    <w:rsid w:val="00C56AF8"/>
    <w:rsid w:val="00C6247C"/>
    <w:rsid w:val="00C6627F"/>
    <w:rsid w:val="00C665D3"/>
    <w:rsid w:val="00C7172B"/>
    <w:rsid w:val="00C751B4"/>
    <w:rsid w:val="00C76401"/>
    <w:rsid w:val="00C87527"/>
    <w:rsid w:val="00C95BA8"/>
    <w:rsid w:val="00CA0190"/>
    <w:rsid w:val="00CA25F2"/>
    <w:rsid w:val="00CB0CFF"/>
    <w:rsid w:val="00CB1C9F"/>
    <w:rsid w:val="00CB7CE6"/>
    <w:rsid w:val="00CC2A47"/>
    <w:rsid w:val="00CC5226"/>
    <w:rsid w:val="00CC5EEF"/>
    <w:rsid w:val="00CD4A47"/>
    <w:rsid w:val="00CD63D1"/>
    <w:rsid w:val="00CE45A2"/>
    <w:rsid w:val="00CE7335"/>
    <w:rsid w:val="00D10639"/>
    <w:rsid w:val="00D14409"/>
    <w:rsid w:val="00D2241B"/>
    <w:rsid w:val="00D23D9F"/>
    <w:rsid w:val="00D4277D"/>
    <w:rsid w:val="00D72336"/>
    <w:rsid w:val="00D750D6"/>
    <w:rsid w:val="00D8708B"/>
    <w:rsid w:val="00D87A87"/>
    <w:rsid w:val="00D96EB1"/>
    <w:rsid w:val="00DB3D7E"/>
    <w:rsid w:val="00DB6AF8"/>
    <w:rsid w:val="00DC199D"/>
    <w:rsid w:val="00DD1AC2"/>
    <w:rsid w:val="00DD2FA5"/>
    <w:rsid w:val="00DD32EE"/>
    <w:rsid w:val="00DD3DF5"/>
    <w:rsid w:val="00DD5A39"/>
    <w:rsid w:val="00DF0353"/>
    <w:rsid w:val="00DF0A4C"/>
    <w:rsid w:val="00DF5E2E"/>
    <w:rsid w:val="00E073B5"/>
    <w:rsid w:val="00E1513F"/>
    <w:rsid w:val="00E22999"/>
    <w:rsid w:val="00E264DB"/>
    <w:rsid w:val="00E32584"/>
    <w:rsid w:val="00E46C7A"/>
    <w:rsid w:val="00E67C15"/>
    <w:rsid w:val="00E73FFB"/>
    <w:rsid w:val="00E753F6"/>
    <w:rsid w:val="00E85409"/>
    <w:rsid w:val="00E936F6"/>
    <w:rsid w:val="00EA2C5B"/>
    <w:rsid w:val="00EB5864"/>
    <w:rsid w:val="00EC3C36"/>
    <w:rsid w:val="00ED2CC0"/>
    <w:rsid w:val="00F01903"/>
    <w:rsid w:val="00F13AAB"/>
    <w:rsid w:val="00F1483D"/>
    <w:rsid w:val="00F24B62"/>
    <w:rsid w:val="00F31776"/>
    <w:rsid w:val="00F4635D"/>
    <w:rsid w:val="00F4680D"/>
    <w:rsid w:val="00F46EFE"/>
    <w:rsid w:val="00F5164E"/>
    <w:rsid w:val="00F532E5"/>
    <w:rsid w:val="00F542E5"/>
    <w:rsid w:val="00F614B8"/>
    <w:rsid w:val="00F615A1"/>
    <w:rsid w:val="00F62CB3"/>
    <w:rsid w:val="00F668DB"/>
    <w:rsid w:val="00F72F36"/>
    <w:rsid w:val="00F732B4"/>
    <w:rsid w:val="00F7416B"/>
    <w:rsid w:val="00F93C11"/>
    <w:rsid w:val="00FA7233"/>
    <w:rsid w:val="00FA7B12"/>
    <w:rsid w:val="00FB14A1"/>
    <w:rsid w:val="00FD1B3A"/>
    <w:rsid w:val="00FF5012"/>
    <w:rsid w:val="00FF68BD"/>
    <w:rsid w:val="02F34CC9"/>
    <w:rsid w:val="04B83AC5"/>
    <w:rsid w:val="08016BA0"/>
    <w:rsid w:val="0B2D257A"/>
    <w:rsid w:val="0C42091A"/>
    <w:rsid w:val="0DCF0020"/>
    <w:rsid w:val="0E0C114E"/>
    <w:rsid w:val="0E3A0EA6"/>
    <w:rsid w:val="0EDA7570"/>
    <w:rsid w:val="12963FCA"/>
    <w:rsid w:val="12A95864"/>
    <w:rsid w:val="1332726E"/>
    <w:rsid w:val="138D2144"/>
    <w:rsid w:val="141278BE"/>
    <w:rsid w:val="14766C9A"/>
    <w:rsid w:val="17906BB7"/>
    <w:rsid w:val="1AF47930"/>
    <w:rsid w:val="1B0637E2"/>
    <w:rsid w:val="244611C8"/>
    <w:rsid w:val="26510D83"/>
    <w:rsid w:val="2727541E"/>
    <w:rsid w:val="2745657B"/>
    <w:rsid w:val="27AD7BC0"/>
    <w:rsid w:val="2DFB0DE9"/>
    <w:rsid w:val="2E4F7092"/>
    <w:rsid w:val="32097FB2"/>
    <w:rsid w:val="32785D47"/>
    <w:rsid w:val="339B1B33"/>
    <w:rsid w:val="347F627E"/>
    <w:rsid w:val="352C23E8"/>
    <w:rsid w:val="35351E70"/>
    <w:rsid w:val="368469D5"/>
    <w:rsid w:val="384A0317"/>
    <w:rsid w:val="3A8D412E"/>
    <w:rsid w:val="3D031B5F"/>
    <w:rsid w:val="3D354CED"/>
    <w:rsid w:val="3D5A02ED"/>
    <w:rsid w:val="3DA5537B"/>
    <w:rsid w:val="3E352B6E"/>
    <w:rsid w:val="400F3041"/>
    <w:rsid w:val="429F7903"/>
    <w:rsid w:val="43037D72"/>
    <w:rsid w:val="44527417"/>
    <w:rsid w:val="45C447DC"/>
    <w:rsid w:val="4632053B"/>
    <w:rsid w:val="47316590"/>
    <w:rsid w:val="484D76BB"/>
    <w:rsid w:val="48570546"/>
    <w:rsid w:val="4929715C"/>
    <w:rsid w:val="49470E56"/>
    <w:rsid w:val="4979212A"/>
    <w:rsid w:val="4AEA112C"/>
    <w:rsid w:val="4CDA55E2"/>
    <w:rsid w:val="4E663930"/>
    <w:rsid w:val="52FF0EE4"/>
    <w:rsid w:val="552C1FC6"/>
    <w:rsid w:val="565454FA"/>
    <w:rsid w:val="59F2587C"/>
    <w:rsid w:val="59F54ADB"/>
    <w:rsid w:val="5ABA0C40"/>
    <w:rsid w:val="5CCB2916"/>
    <w:rsid w:val="5FD823BE"/>
    <w:rsid w:val="622F1706"/>
    <w:rsid w:val="63265900"/>
    <w:rsid w:val="64192F0D"/>
    <w:rsid w:val="64863537"/>
    <w:rsid w:val="65C9315F"/>
    <w:rsid w:val="66513D55"/>
    <w:rsid w:val="671201AB"/>
    <w:rsid w:val="67A90F16"/>
    <w:rsid w:val="6BA31FCE"/>
    <w:rsid w:val="6E32082C"/>
    <w:rsid w:val="72802F4E"/>
    <w:rsid w:val="73DA0C11"/>
    <w:rsid w:val="74187C5B"/>
    <w:rsid w:val="742A44BA"/>
    <w:rsid w:val="75CC10E6"/>
    <w:rsid w:val="76131E23"/>
    <w:rsid w:val="763F639A"/>
    <w:rsid w:val="76933F6C"/>
    <w:rsid w:val="783E22E2"/>
    <w:rsid w:val="79BA1FA2"/>
    <w:rsid w:val="7AFF25F5"/>
    <w:rsid w:val="7FC200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uiPriority w:val="0"/>
    <w:pPr>
      <w:snapToGrid w:val="0"/>
      <w:jc w:val="left"/>
    </w:pPr>
    <w:rPr>
      <w:rFonts w:ascii="Times New Roman" w:hAnsi="Times New Roman" w:eastAsia="宋体" w:cs="Times New Roman"/>
      <w:sz w:val="18"/>
      <w:szCs w:val="18"/>
    </w:rPr>
  </w:style>
  <w:style w:type="paragraph" w:styleId="3">
    <w:name w:val="annotation text"/>
    <w:basedOn w:val="1"/>
    <w:link w:val="18"/>
    <w:qFormat/>
    <w:uiPriority w:val="0"/>
    <w:pPr>
      <w:jc w:val="left"/>
    </w:pPr>
  </w:style>
  <w:style w:type="paragraph" w:styleId="4">
    <w:name w:val="Date"/>
    <w:basedOn w:val="1"/>
    <w:next w:val="1"/>
    <w:link w:val="27"/>
    <w:semiHidden/>
    <w:unhideWhenUsed/>
    <w:qFormat/>
    <w:uiPriority w:val="0"/>
    <w:pPr>
      <w:ind w:left="100" w:leftChars="2500"/>
    </w:pPr>
  </w:style>
  <w:style w:type="paragraph" w:styleId="5">
    <w:name w:val="Balloon Text"/>
    <w:basedOn w:val="1"/>
    <w:semiHidden/>
    <w:qFormat/>
    <w:uiPriority w:val="0"/>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annotation subject"/>
    <w:basedOn w:val="3"/>
    <w:next w:val="3"/>
    <w:link w:val="20"/>
    <w:qFormat/>
    <w:uiPriority w:val="0"/>
    <w:rPr>
      <w:b/>
      <w:bCs/>
    </w:rPr>
  </w:style>
  <w:style w:type="character" w:styleId="11">
    <w:name w:val="page number"/>
    <w:basedOn w:val="10"/>
    <w:qFormat/>
    <w:uiPriority w:val="0"/>
  </w:style>
  <w:style w:type="character" w:styleId="12">
    <w:name w:val="annotation reference"/>
    <w:qFormat/>
    <w:uiPriority w:val="0"/>
    <w:rPr>
      <w:sz w:val="21"/>
      <w:szCs w:val="21"/>
    </w:rPr>
  </w:style>
  <w:style w:type="paragraph" w:customStyle="1" w:styleId="13">
    <w:name w:val="p0"/>
    <w:basedOn w:val="1"/>
    <w:qFormat/>
    <w:uiPriority w:val="0"/>
    <w:pPr>
      <w:widowControl/>
    </w:pPr>
    <w:rPr>
      <w:kern w:val="0"/>
      <w:szCs w:val="21"/>
    </w:rPr>
  </w:style>
  <w:style w:type="paragraph" w:customStyle="1" w:styleId="14">
    <w:name w:val="Char Char"/>
    <w:basedOn w:val="1"/>
    <w:qFormat/>
    <w:uiPriority w:val="0"/>
    <w:rPr>
      <w:rFonts w:ascii="Tahoma" w:hAnsi="Tahoma"/>
      <w:sz w:val="24"/>
      <w:szCs w:val="20"/>
    </w:rPr>
  </w:style>
  <w:style w:type="paragraph" w:customStyle="1" w:styleId="15">
    <w:name w:val="Char Char Char Char Char Char Char Char Char Char Char Char Char Char Char Char"/>
    <w:basedOn w:val="1"/>
    <w:qFormat/>
    <w:uiPriority w:val="0"/>
    <w:pPr>
      <w:tabs>
        <w:tab w:val="left" w:pos="360"/>
      </w:tabs>
    </w:pPr>
    <w:rPr>
      <w:sz w:val="24"/>
    </w:rPr>
  </w:style>
  <w:style w:type="paragraph" w:customStyle="1" w:styleId="16">
    <w:name w:val="Char Char Char Char1 Char Char Char Char Char Char Char Char Char Char Char Char Char Char Char Char Char"/>
    <w:basedOn w:val="1"/>
    <w:qFormat/>
    <w:uiPriority w:val="0"/>
    <w:pPr>
      <w:widowControl/>
      <w:spacing w:after="160" w:line="240" w:lineRule="exact"/>
      <w:ind w:firstLine="980" w:firstLineChars="350"/>
      <w:jc w:val="left"/>
    </w:pPr>
    <w:rPr>
      <w:rFonts w:ascii="Verdana" w:hAnsi="Verdana" w:eastAsia="仿宋_GB2312"/>
      <w:kern w:val="0"/>
      <w:sz w:val="28"/>
      <w:szCs w:val="28"/>
      <w:lang w:eastAsia="en-US"/>
    </w:rPr>
  </w:style>
  <w:style w:type="paragraph" w:customStyle="1" w:styleId="17">
    <w:name w:val="_Style 14"/>
    <w:semiHidden/>
    <w:qFormat/>
    <w:uiPriority w:val="99"/>
    <w:rPr>
      <w:rFonts w:ascii="Times New Roman" w:hAnsi="Times New Roman" w:eastAsia="宋体" w:cs="Times New Roman"/>
      <w:kern w:val="2"/>
      <w:sz w:val="21"/>
      <w:szCs w:val="24"/>
      <w:lang w:val="en-US" w:eastAsia="zh-CN" w:bidi="ar-SA"/>
    </w:rPr>
  </w:style>
  <w:style w:type="character" w:customStyle="1" w:styleId="18">
    <w:name w:val="批注文字 字符"/>
    <w:link w:val="3"/>
    <w:qFormat/>
    <w:uiPriority w:val="0"/>
    <w:rPr>
      <w:kern w:val="2"/>
      <w:sz w:val="21"/>
      <w:szCs w:val="24"/>
    </w:rPr>
  </w:style>
  <w:style w:type="character" w:customStyle="1" w:styleId="19">
    <w:name w:val="页脚 字符"/>
    <w:link w:val="6"/>
    <w:qFormat/>
    <w:uiPriority w:val="99"/>
    <w:rPr>
      <w:kern w:val="2"/>
      <w:sz w:val="18"/>
      <w:szCs w:val="18"/>
    </w:rPr>
  </w:style>
  <w:style w:type="character" w:customStyle="1" w:styleId="20">
    <w:name w:val="批注主题 字符"/>
    <w:link w:val="8"/>
    <w:qFormat/>
    <w:uiPriority w:val="0"/>
    <w:rPr>
      <w:b/>
      <w:bCs/>
      <w:kern w:val="2"/>
      <w:sz w:val="21"/>
      <w:szCs w:val="24"/>
    </w:rPr>
  </w:style>
  <w:style w:type="paragraph" w:customStyle="1" w:styleId="21">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22">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23">
    <w:name w:val="font131"/>
    <w:basedOn w:val="10"/>
    <w:qFormat/>
    <w:uiPriority w:val="0"/>
    <w:rPr>
      <w:rFonts w:hint="eastAsia" w:ascii="黑体" w:hAnsi="宋体" w:eastAsia="黑体" w:cs="黑体"/>
      <w:color w:val="000000"/>
      <w:sz w:val="20"/>
      <w:szCs w:val="20"/>
      <w:u w:val="none"/>
    </w:rPr>
  </w:style>
  <w:style w:type="character" w:customStyle="1" w:styleId="24">
    <w:name w:val="font151"/>
    <w:basedOn w:val="10"/>
    <w:qFormat/>
    <w:uiPriority w:val="0"/>
    <w:rPr>
      <w:rFonts w:hint="eastAsia" w:ascii="黑体" w:hAnsi="宋体" w:eastAsia="黑体" w:cs="黑体"/>
      <w:color w:val="000000"/>
      <w:sz w:val="18"/>
      <w:szCs w:val="18"/>
      <w:u w:val="none"/>
    </w:rPr>
  </w:style>
  <w:style w:type="character" w:customStyle="1" w:styleId="25">
    <w:name w:val="font121"/>
    <w:basedOn w:val="10"/>
    <w:qFormat/>
    <w:uiPriority w:val="0"/>
    <w:rPr>
      <w:rFonts w:hint="eastAsia" w:ascii="黑体" w:hAnsi="宋体" w:eastAsia="黑体" w:cs="黑体"/>
      <w:color w:val="000000"/>
      <w:sz w:val="16"/>
      <w:szCs w:val="16"/>
      <w:u w:val="none"/>
    </w:rPr>
  </w:style>
  <w:style w:type="character" w:customStyle="1" w:styleId="26">
    <w:name w:val="font141"/>
    <w:basedOn w:val="10"/>
    <w:qFormat/>
    <w:uiPriority w:val="0"/>
    <w:rPr>
      <w:rFonts w:hint="eastAsia" w:ascii="黑体" w:hAnsi="宋体" w:eastAsia="黑体" w:cs="黑体"/>
      <w:color w:val="000000"/>
      <w:sz w:val="14"/>
      <w:szCs w:val="14"/>
      <w:u w:val="none"/>
    </w:rPr>
  </w:style>
  <w:style w:type="character" w:customStyle="1" w:styleId="27">
    <w:name w:val="日期 字符"/>
    <w:basedOn w:val="10"/>
    <w:link w:val="4"/>
    <w:semiHidden/>
    <w:qFormat/>
    <w:uiPriority w:val="0"/>
    <w:rPr>
      <w:kern w:val="2"/>
      <w:sz w:val="21"/>
      <w:szCs w:val="24"/>
    </w:rPr>
  </w:style>
  <w:style w:type="paragraph" w:customStyle="1" w:styleId="28">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E:\&#36130;&#21153;\2022&#24180;&#24230;\&#36130;&#25919;&#23616;&#25253;&#34920;\2022&#24180;&#39044;&#31639;&#20844;&#24320;\&#22270;&#34920;.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E:\&#36130;&#21153;\2022&#24180;&#24230;\&#36130;&#25919;&#23616;&#25253;&#34920;\2022&#24180;&#39044;&#31639;&#20844;&#24320;\&#22270;&#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E:\&#36130;&#21153;\2022&#24180;&#24230;\&#36130;&#25919;&#23616;&#25253;&#34920;\2022&#24180;&#39044;&#31639;&#20844;&#24320;\&#22270;&#34920;.xls"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E:\&#36130;&#21153;\2022&#24180;&#24230;\&#36130;&#25919;&#23616;&#25253;&#34920;\2022&#24180;&#39044;&#31639;&#20844;&#24320;\&#22270;&#34920;.xls"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E:\&#36130;&#21153;\2022&#24180;&#24230;\&#36130;&#25919;&#23616;&#25253;&#34920;\2022&#24180;&#39044;&#31639;&#20844;&#24320;\&#22270;&#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[图表.xls]Sheet1!$A$4</c:f>
              <c:strCache>
                <c:ptCount val="1"/>
                <c:pt idx="0">
                  <c:v>2022年收入预算结构图</c:v>
                </c:pt>
              </c:strCache>
            </c:strRef>
          </c:tx>
          <c:spPr/>
          <c:explosion val="0"/>
          <c:dPt>
            <c:idx val="0"/>
            <c:bubble3D val="0"/>
            <c:explosion val="20"/>
            <c:spPr>
              <a:solidFill>
                <a:schemeClr val="accent1"/>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[图表.xls]Sheet1!$B$3</c:f>
              <c:strCache>
                <c:ptCount val="1"/>
                <c:pt idx="0">
                  <c:v>财政拨款收入</c:v>
                </c:pt>
              </c:strCache>
            </c:strRef>
          </c:cat>
          <c:val>
            <c:numRef>
              <c:f>[图表.xls]Sheet1!$B$4</c:f>
              <c:numCache>
                <c:formatCode>General</c:formatCode>
                <c:ptCount val="1"/>
                <c:pt idx="0">
                  <c:v>615.16</c:v>
                </c:pt>
              </c:numCache>
            </c:numRef>
          </c:val>
        </c:ser>
        <c:dLbls>
          <c:showLegendKey val="0"/>
          <c:showVal val="0"/>
          <c:showCatName val="1"/>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298888888888889"/>
          <c:y val="0.0361111111111111"/>
        </c:manualLayout>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[图表.xls]Sheet1!$A$23</c:f>
              <c:strCache>
                <c:ptCount val="1"/>
                <c:pt idx="0">
                  <c:v>2022年支出预算结构图</c:v>
                </c:pt>
              </c:strCache>
            </c:strRef>
          </c:tx>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0"/>
            <c:extLst>
              <c:ext xmlns:c15="http://schemas.microsoft.com/office/drawing/2012/chart" uri="{CE6537A1-D6FC-4f65-9D91-7224C49458BB}">
                <c15:layout/>
                <c15:showLeaderLines val="0"/>
                <c15:leaderLines/>
              </c:ext>
            </c:extLst>
          </c:dLbls>
          <c:cat>
            <c:multiLvlStrRef>
              <c:f>[图表.xls]Sheet1!$B$21:$C$22</c:f>
              <c:multiLvlStrCache>
                <c:ptCount val="2"/>
                <c:lvl/>
                <c:lvl>
                  <c:pt idx="0">
                    <c:v>基本支出</c:v>
                  </c:pt>
                  <c:pt idx="1">
                    <c:v>项目支出</c:v>
                  </c:pt>
                </c:lvl>
              </c:multiLvlStrCache>
            </c:multiLvlStrRef>
          </c:cat>
          <c:val>
            <c:numRef>
              <c:f>[图表.xls]Sheet1!$B$23:$C$23</c:f>
              <c:numCache>
                <c:formatCode>General</c:formatCode>
                <c:ptCount val="2"/>
                <c:pt idx="0">
                  <c:v>535.16</c:v>
                </c:pt>
                <c:pt idx="1">
                  <c:v>80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0.36325"/>
          <c:y val="0.895"/>
          <c:w val="0.27325"/>
          <c:h val="0.0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[图表.xls]Sheet1!$A$55</c:f>
              <c:strCache>
                <c:ptCount val="1"/>
                <c:pt idx="0">
                  <c:v>2022年财政拨款支出预算</c:v>
                </c:pt>
              </c:strCache>
            </c:strRef>
          </c:tx>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969696">
                          <a:alpha val="100000"/>
                        </a:srgbClr>
                      </a:solidFill>
                      <a:prstDash val="solid"/>
                      <a:round/>
                    </a:ln>
                  </c:spPr>
                </c15:leaderLines>
              </c:ext>
            </c:extLst>
          </c:dLbls>
          <c:cat>
            <c:strRef>
              <c:f>[图表.xls]Sheet1!$B$54:$D$54</c:f>
              <c:strCache>
                <c:ptCount val="3"/>
                <c:pt idx="0">
                  <c:v>一般公共服务（类）支出</c:v>
                </c:pt>
                <c:pt idx="1">
                  <c:v>社会保障和就业支出（类）</c:v>
                </c:pt>
                <c:pt idx="2">
                  <c:v>卫生健康支出（类）</c:v>
                </c:pt>
              </c:strCache>
            </c:strRef>
          </c:cat>
          <c:val>
            <c:numRef>
              <c:f>[图表.xls]Sheet1!$B$55:$D$55</c:f>
              <c:numCache>
                <c:formatCode>General</c:formatCode>
                <c:ptCount val="3"/>
                <c:pt idx="0">
                  <c:v>540.42</c:v>
                </c:pt>
                <c:pt idx="1">
                  <c:v>44.29</c:v>
                </c:pt>
                <c:pt idx="2">
                  <c:v>30.45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1455"/>
          <c:y val="0.895"/>
          <c:w val="0.70875"/>
          <c:h val="0.0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barChart>
        <c:barDir val="col"/>
        <c:grouping val="stacked"/>
        <c:varyColors val="0"/>
        <c:ser>
          <c:idx val="0"/>
          <c:order val="0"/>
          <c:tx>
            <c:strRef>
              <c:f>[图表.xls]Sheet1!$A$62</c:f>
              <c:strCache>
                <c:ptCount val="1"/>
                <c:pt idx="0">
                  <c:v>一般公共预算拨款变动情况图</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[图表.xls]Sheet1!$B$61:$C$61</c:f>
              <c:strCache>
                <c:ptCount val="2"/>
                <c:pt idx="0">
                  <c:v>2021年</c:v>
                </c:pt>
                <c:pt idx="1">
                  <c:v>2022年</c:v>
                </c:pt>
              </c:strCache>
            </c:strRef>
          </c:cat>
          <c:val>
            <c:numRef>
              <c:f>[图表.xls]Sheet1!$B$62:$C$62</c:f>
              <c:numCache>
                <c:formatCode>General</c:formatCode>
                <c:ptCount val="2"/>
                <c:pt idx="0">
                  <c:v>591.57</c:v>
                </c:pt>
                <c:pt idx="1">
                  <c:v>615.16</c:v>
                </c:pt>
              </c:numCache>
            </c:numRef>
          </c:val>
        </c:ser>
        <c:dLbls>
          <c:showLegendKey val="0"/>
          <c:showVal val="1"/>
          <c:showCatName val="0"/>
          <c:showSerName val="0"/>
          <c:showPercent val="0"/>
          <c:showBubbleSize val="0"/>
        </c:dLbls>
        <c:gapWidth val="150"/>
        <c:overlap val="100"/>
        <c:axId val="946159366"/>
        <c:axId val="936041974"/>
      </c:barChart>
      <c:catAx>
        <c:axId val="946159366"/>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36041974"/>
        <c:crosses val="autoZero"/>
        <c:auto val="1"/>
        <c:lblAlgn val="ctr"/>
        <c:lblOffset val="100"/>
        <c:noMultiLvlLbl val="0"/>
      </c:catAx>
      <c:valAx>
        <c:axId val="93604197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94615936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pieChart>
        <c:varyColors val="1"/>
        <c:ser>
          <c:idx val="0"/>
          <c:order val="0"/>
          <c:tx>
            <c:strRef>
              <c:f>[图表.xls]Sheet1!$A$55</c:f>
              <c:strCache>
                <c:ptCount val="1"/>
                <c:pt idx="0">
                  <c:v>2022年一般公共预算支出</c:v>
                </c:pt>
              </c:strCache>
            </c:strRef>
          </c:tx>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Lbls>
            <c:numFmt formatCode="0.00%" sourceLinked="0"/>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rgbClr val="969696">
                          <a:alpha val="100000"/>
                        </a:srgbClr>
                      </a:solidFill>
                      <a:prstDash val="solid"/>
                      <a:round/>
                    </a:ln>
                  </c:spPr>
                </c15:leaderLines>
              </c:ext>
            </c:extLst>
          </c:dLbls>
          <c:cat>
            <c:strRef>
              <c:f>[图表.xls]Sheet1!$B$54:$D$54</c:f>
              <c:strCache>
                <c:ptCount val="3"/>
                <c:pt idx="0">
                  <c:v>一般公共服务（类）支出</c:v>
                </c:pt>
                <c:pt idx="1">
                  <c:v>社会保障和就业支出（类）</c:v>
                </c:pt>
                <c:pt idx="2">
                  <c:v>卫生健康支出（类）</c:v>
                </c:pt>
              </c:strCache>
            </c:strRef>
          </c:cat>
          <c:val>
            <c:numRef>
              <c:f>[图表.xls]Sheet1!$B$55:$D$55</c:f>
              <c:numCache>
                <c:formatCode>General</c:formatCode>
                <c:ptCount val="3"/>
                <c:pt idx="0">
                  <c:v>540.42</c:v>
                </c:pt>
                <c:pt idx="1">
                  <c:v>44.29</c:v>
                </c:pt>
                <c:pt idx="2">
                  <c:v>30.45</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0.1455"/>
          <c:y val="0.895"/>
          <c:w val="0.70875"/>
          <c:h val="0.0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0785719-88C3-44A6-8FEC-F763E08BBF72}">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1909</Words>
  <Characters>10884</Characters>
  <Lines>90</Lines>
  <Paragraphs>25</Paragraphs>
  <TotalTime>4</TotalTime>
  <ScaleCrop>false</ScaleCrop>
  <LinksUpToDate>false</LinksUpToDate>
  <CharactersWithSpaces>12768</CharactersWithSpaces>
  <Application>WPS Office_11.8.2.8999_F1E327BC-269C-435d-A152-05C5408002CA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2022-02-16T02:05:00Z</dcterms:created>
  <dc:creator>Li</dc:creator>
  <cp:lastModifiedBy>Administrator</cp:lastModifiedBy>
  <cp:lastPrinted>2022-02-11T07:12:00Z</cp:lastPrinted>
  <dcterms:modified xsi:type="dcterms:W3CDTF">2022-12-02T08:57:30Z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2052-11.8.2.8999</vt:lpwstr>
  </property>
</Properties>
</file>